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720"/>
      </w:pPr>
    </w:p>
    <w:p>
      <w:pPr>
        <w:widowControl/>
        <w:spacing w:after="240"/>
      </w:pPr>
      <w:r>
        <w:rPr>
          <w:rFonts w:ascii="Calibri" w:hAnsi="Calibri"/>
          <w:b/>
          <w:color w:val="0F6B78"/>
          <w:sz w:val="34"/>
        </w:rPr>
        <w:t>R00</w:t>
      </w:r>
    </w:p>
    <w:p>
      <w:pPr>
        <w:widowControl/>
        <w:spacing w:after="240" w:line="235" w:lineRule="auto"/>
      </w:pPr>
      <w:r>
        <w:rPr>
          <w:rFonts w:ascii="Calibri" w:hAnsi="Calibri"/>
          <w:b/>
          <w:color w:val="17365D"/>
          <w:sz w:val="54"/>
        </w:rPr>
        <w:t>DORA SNI Documentation &amp; Implementation Suite — Architecture and Traceability Report</w:t>
      </w:r>
    </w:p>
    <w:p>
      <w:pPr>
        <w:widowControl/>
        <w:spacing w:after="560"/>
      </w:pPr>
      <w:r>
        <w:rPr>
          <w:rFonts w:ascii="Calibri" w:hAnsi="Calibri"/>
          <w:b/>
          <w:color w:val="FFFFFF"/>
          <w:sz w:val="20"/>
          <w:shd w:fill="0F6B78"/>
        </w:rPr>
        <w:t>ARCHITECTURE REPORT — VERSION 1.1</w:t>
      </w:r>
    </w:p>
    <w:tbl>
      <w:tblPr>
        <w:tblW w:type="auto" w:w="0"/>
        <w:jc w:val="left"/>
        <w:tblLayout w:type="fixed"/>
        <w:tblLook w:firstColumn="1" w:firstRow="1" w:lastColumn="0" w:lastRow="0" w:noHBand="0" w:noVBand="1" w:val="04A0"/>
      </w:tblPr>
      <w:tblGrid>
        <w:gridCol w:w="2448"/>
        <w:gridCol w:w="7430"/>
      </w:tblGrid>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ENTITY</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[ENTITY LEGAL NAME]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OWNER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[ROLE / FUNCTION]</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APPROVER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[BOARD / MANAGEMENT BODY / EXECUTIVE]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VERSION</w:t>
            </w:r>
          </w:p>
        </w:tc>
        <w:tc>
          <w:tcPr>
            <w:tcW w:type="dxa" w:w="7430"/>
            <w:tcMar>
              <w:top w:w="90" w:type="dxa"/>
              <w:start w:w="120" w:type="dxa"/>
              <w:bottom w:w="90" w:type="dxa"/>
              <w:end w:w="120" w:type="dxa"/>
            </w:tcMar>
            <w:vAlign w:val="center"/>
          </w:tcPr>
          <w:p>
            <w:pPr>
              <w:keepLines/>
              <w:widowControl/>
            </w:pPr>
            <w:r>
              <w:rPr>
                <w:rFonts w:ascii="Calibri" w:hAnsi="Calibri"/>
                <w:b/>
                <w:color w:val="17365D"/>
                <w:sz w:val="18"/>
                <w:shd w:fill="FFF2CC"/>
              </w:rPr>
              <w:t>[1.1]</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EFFECTIVE DATE</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NEXT REVIEW</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bl>
    <w:p>
      <w:pPr>
        <w:widowControl/>
        <w:spacing w:after="280"/>
      </w:pPr>
    </w:p>
    <w:tbl>
      <w:tblPr>
        <w:tblW w:type="auto" w:w="0"/>
        <w:jc w:val="center"/>
        <w:tblLayout w:type="fixed"/>
        <w:tblLook w:firstColumn="1" w:firstRow="1" w:lastColumn="0" w:lastRow="0" w:noHBand="0" w:noVBand="1" w:val="04A0"/>
      </w:tblPr>
      <w:tblGrid>
        <w:gridCol w:w="158"/>
        <w:gridCol w:w="9720"/>
      </w:tblGrid>
      <w:t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TEMPLATE STATUS</w:t>
            </w:r>
            <w:r>
              <w:rPr>
                <w:rFonts w:ascii="Calibri" w:hAnsi="Calibri"/>
              </w:rPr>
              <w:br/>
              <w:t>Complete and validate every yellow-bracketed field. Delete drafting notes before approval. Technical controls, inventories, provider facts, tests and audit conclusions must not be assumed or invented.</w:t>
            </w:r>
          </w:p>
        </w:tc>
      </w:tr>
    </w:tbl>
    <w:p>
      <w:pPr>
        <w:widowControl/>
        <w:spacing w:after="0"/>
      </w:pPr>
    </w:p>
    <w:p>
      <w:pPr>
        <w:widowControl/>
      </w:pPr>
      <w:r>
        <w:br w:type="page"/>
      </w:r>
    </w:p>
    <w:p>
      <w:pPr>
        <w:pStyle w:val="Heading1"/>
        <w:widowControl/>
      </w:pPr>
      <w:r>
        <w:t>Document control and approval</w:t>
      </w:r>
    </w:p>
    <w:tbl>
      <w:tblPr>
        <w:tblStyle w:val="TableGrid"/>
        <w:tblW w:type="auto" w:w="0"/>
        <w:jc w:val="center"/>
        <w:tblLayout w:type="fixed"/>
        <w:tblLook w:firstColumn="1" w:firstRow="1" w:lastColumn="0" w:lastRow="0" w:noHBand="0" w:noVBand="1" w:val="04A0"/>
      </w:tblPr>
      <w:tblGrid>
        <w:gridCol w:w="2520"/>
        <w:gridCol w:w="7358"/>
      </w:tblGrid>
      <w:tr>
        <w:trPr>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7"/>
              </w:rPr>
              <w:t>Field</w:t>
            </w:r>
          </w:p>
        </w:tc>
        <w:tc>
          <w:tcPr>
            <w:tcW w:type="dxa" w:w="7358"/>
            <w:shd w:fill="17365D"/>
            <w:tcMar>
              <w:top w:w="80" w:type="dxa"/>
              <w:start w:w="110" w:type="dxa"/>
              <w:bottom w:w="80" w:type="dxa"/>
              <w:end w:w="110" w:type="dxa"/>
            </w:tcMar>
            <w:vAlign w:val="center"/>
          </w:tcPr>
          <w:p>
            <w:pPr>
              <w:widowControl/>
            </w:pPr>
            <w:r>
              <w:rPr>
                <w:rFonts w:ascii="Calibri" w:hAnsi="Calibri"/>
                <w:b/>
                <w:color w:val="FFFFFF"/>
                <w:sz w:val="17"/>
              </w:rPr>
              <w:t>Controlled value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Document ID</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R00</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Document title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DORA SNI Documentation &amp; Implementation Suite — Architecture and Traceability Report</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Owner</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[DORA Programme Owner / Legal]</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Approval authority</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Management body for entity-specific adoption</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Version</w:t>
            </w:r>
          </w:p>
        </w:tc>
        <w:tc>
          <w:tcPr>
            <w:tcW w:type="dxa" w:w="7358"/>
            <w:tcMar>
              <w:top w:w="80" w:type="dxa"/>
              <w:start w:w="110" w:type="dxa"/>
              <w:bottom w:w="80" w:type="dxa"/>
              <w:end w:w="110" w:type="dxa"/>
            </w:tcMar>
            <w:vAlign w:val="center"/>
          </w:tcPr>
          <w:p>
            <w:pPr>
              <w:keepLines/>
              <w:widowControl/>
              <w:spacing w:after="0"/>
            </w:pPr>
            <w:r>
              <w:rPr>
                <w:rFonts w:ascii="Calibri" w:hAnsi="Calibri"/>
                <w:b w:val="0"/>
                <w:color w:val="1F2937"/>
                <w:sz w:val="17"/>
              </w:rPr>
              <w:t>[1.1]</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Effective date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[DD MONTH YYYY]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Review cycle</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At least annually and on legal, classification or material operating-model change</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Classification</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Confidential — Internal</w:t>
            </w:r>
          </w:p>
        </w:tc>
      </w:tr>
    </w:tbl>
    <w:p>
      <w:pPr>
        <w:widowControl/>
        <w:spacing w:after="0"/>
      </w:pPr>
    </w:p>
    <w:p>
      <w:pPr>
        <w:pStyle w:val="Heading2"/>
        <w:widowControl/>
      </w:pPr>
      <w:r>
        <w:t>Approval record</w:t>
      </w:r>
    </w:p>
    <w:tbl>
      <w:tblPr>
        <w:tblStyle w:val="TableGrid"/>
        <w:tblW w:type="auto" w:w="0"/>
        <w:jc w:val="center"/>
        <w:tblLayout w:type="fixed"/>
        <w:tblLook w:firstColumn="1" w:firstRow="1" w:lastColumn="0" w:lastRow="0" w:noHBand="0" w:noVBand="1" w:val="04A0"/>
      </w:tblPr>
      <w:tblGrid>
        <w:gridCol w:w="2880"/>
        <w:gridCol w:w="2376"/>
        <w:gridCol w:w="3024"/>
        <w:gridCol w:w="1598"/>
      </w:tblGrid>
      <w:tr>
        <w:trPr>
          <w:tblHeader w:val="true"/>
        </w:trPr>
        <w:tc>
          <w:tcPr>
            <w:tcW w:type="dxa" w:w="2880"/>
            <w:shd w:fill="17365D"/>
            <w:tcMar>
              <w:top w:w="80" w:type="dxa"/>
              <w:start w:w="110" w:type="dxa"/>
              <w:bottom w:w="80" w:type="dxa"/>
              <w:end w:w="110" w:type="dxa"/>
            </w:tcMar>
            <w:vAlign w:val="center"/>
          </w:tcPr>
          <w:p>
            <w:pPr>
              <w:widowControl/>
            </w:pPr>
            <w:r>
              <w:rPr>
                <w:rFonts w:ascii="Calibri" w:hAnsi="Calibri"/>
                <w:b/>
                <w:color w:val="FFFFFF"/>
                <w:sz w:val="16"/>
              </w:rPr>
              <w:t>Approver</w:t>
            </w:r>
          </w:p>
        </w:tc>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Capacity</w:t>
            </w:r>
          </w:p>
        </w:tc>
        <w:tc>
          <w:tcPr>
            <w:tcW w:type="dxa" w:w="3024"/>
            <w:shd w:fill="17365D"/>
            <w:tcMar>
              <w:top w:w="80" w:type="dxa"/>
              <w:start w:w="110" w:type="dxa"/>
              <w:bottom w:w="80" w:type="dxa"/>
              <w:end w:w="110" w:type="dxa"/>
            </w:tcMar>
            <w:vAlign w:val="center"/>
          </w:tcPr>
          <w:p>
            <w:pPr>
              <w:widowControl/>
            </w:pPr>
            <w:r>
              <w:rPr>
                <w:rFonts w:ascii="Calibri" w:hAnsi="Calibri"/>
                <w:b/>
                <w:color w:val="FFFFFF"/>
                <w:sz w:val="16"/>
              </w:rPr>
              <w:t>Decision</w:t>
            </w:r>
          </w:p>
        </w:tc>
        <w:tc>
          <w:tcPr>
            <w:tcW w:type="dxa" w:w="1598"/>
            <w:shd w:fill="17365D"/>
            <w:tcMar>
              <w:top w:w="80" w:type="dxa"/>
              <w:start w:w="110" w:type="dxa"/>
              <w:bottom w:w="80" w:type="dxa"/>
              <w:end w:w="110" w:type="dxa"/>
            </w:tcMar>
            <w:vAlign w:val="center"/>
          </w:tcPr>
          <w:p>
            <w:pPr>
              <w:widowControl/>
            </w:pPr>
            <w:r>
              <w:rPr>
                <w:rFonts w:ascii="Calibri" w:hAnsi="Calibri"/>
                <w:b/>
                <w:color w:val="FFFFFF"/>
                <w:sz w:val="16"/>
              </w:rPr>
              <w:t>Date</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tcPr>
          <w:p>
            <w:pPr>
              <w:widowControl/>
              <w:spacing w:after="0"/>
            </w:pPr>
            <w:r>
              <w:rPr>
                <w:rFonts w:ascii="Calibri" w:hAnsi="Calibri"/>
                <w:b w:val="0"/>
                <w:color w:val="1F2937"/>
                <w:sz w:val="16"/>
              </w:rPr>
              <w:t>[DATE]</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shd w:fill="F8FAFC"/>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r>
    </w:tbl>
    <w:p>
      <w:pPr>
        <w:widowControl/>
        <w:spacing w:after="0"/>
      </w:pPr>
    </w:p>
    <w:p>
      <w:pPr>
        <w:pStyle w:val="Heading2"/>
        <w:widowControl/>
      </w:pPr>
      <w:r>
        <w:t>Version history</w:t>
      </w:r>
    </w:p>
    <w:tbl>
      <w:tblPr>
        <w:tblStyle w:val="TableGrid"/>
        <w:tblW w:type="auto" w:w="0"/>
        <w:jc w:val="center"/>
        <w:tblLayout w:type="fixed"/>
        <w:tblLook w:firstColumn="1" w:firstRow="1" w:lastColumn="0" w:lastRow="0" w:noHBand="0" w:noVBand="1" w:val="04A0"/>
      </w:tblPr>
      <w:tblGrid>
        <w:gridCol w:w="1080"/>
        <w:gridCol w:w="1440"/>
        <w:gridCol w:w="5256"/>
        <w:gridCol w:w="2102"/>
      </w:tblGrid>
      <w:tr>
        <w:trPr>
          <w:tblHeader w:val="true"/>
        </w:trPr>
        <w:tc>
          <w:tcPr>
            <w:tcW w:type="dxa" w:w="1080"/>
            <w:shd w:fill="17365D"/>
            <w:tcMar>
              <w:top w:w="80" w:type="dxa"/>
              <w:start w:w="110" w:type="dxa"/>
              <w:bottom w:w="80" w:type="dxa"/>
              <w:end w:w="110" w:type="dxa"/>
            </w:tcMar>
            <w:vAlign w:val="center"/>
          </w:tcPr>
          <w:p>
            <w:pPr>
              <w:widowControl/>
            </w:pPr>
            <w:r>
              <w:rPr>
                <w:rFonts w:ascii="Calibri" w:hAnsi="Calibri"/>
                <w:b/>
                <w:color w:val="FFFFFF"/>
                <w:sz w:val="16"/>
              </w:rPr>
              <w:t>Version</w:t>
            </w:r>
          </w:p>
        </w:tc>
        <w:tc>
          <w:tcPr>
            <w:tcW w:type="dxa" w:w="1440"/>
            <w:shd w:fill="17365D"/>
            <w:tcMar>
              <w:top w:w="80" w:type="dxa"/>
              <w:start w:w="110" w:type="dxa"/>
              <w:bottom w:w="80" w:type="dxa"/>
              <w:end w:w="110" w:type="dxa"/>
            </w:tcMar>
            <w:vAlign w:val="center"/>
          </w:tcPr>
          <w:p>
            <w:pPr>
              <w:widowControl/>
            </w:pPr>
            <w:r>
              <w:rPr>
                <w:rFonts w:ascii="Calibri" w:hAnsi="Calibri"/>
                <w:b/>
                <w:color w:val="FFFFFF"/>
                <w:sz w:val="16"/>
              </w:rPr>
              <w:t>Date</w:t>
            </w:r>
          </w:p>
        </w:tc>
        <w:tc>
          <w:tcPr>
            <w:tcW w:type="dxa" w:w="5256"/>
            <w:shd w:fill="17365D"/>
            <w:tcMar>
              <w:top w:w="80" w:type="dxa"/>
              <w:start w:w="110" w:type="dxa"/>
              <w:bottom w:w="80" w:type="dxa"/>
              <w:end w:w="110" w:type="dxa"/>
            </w:tcMar>
            <w:vAlign w:val="center"/>
          </w:tcPr>
          <w:p>
            <w:pPr>
              <w:widowControl/>
            </w:pPr>
            <w:r>
              <w:rPr>
                <w:rFonts w:ascii="Calibri" w:hAnsi="Calibri"/>
                <w:b/>
                <w:color w:val="FFFFFF"/>
                <w:sz w:val="16"/>
              </w:rPr>
              <w:t>Change</w:t>
            </w:r>
          </w:p>
        </w:tc>
        <w:tc>
          <w:tcPr>
            <w:tcW w:type="dxa" w:w="2102"/>
            <w:shd w:fill="17365D"/>
            <w:tcMar>
              <w:top w:w="80" w:type="dxa"/>
              <w:start w:w="110" w:type="dxa"/>
              <w:bottom w:w="80" w:type="dxa"/>
              <w:end w:w="110" w:type="dxa"/>
            </w:tcMar>
            <w:vAlign w:val="center"/>
          </w:tcPr>
          <w:p>
            <w:pPr>
              <w:widowControl/>
            </w:pPr>
            <w:r>
              <w:rPr>
                <w:rFonts w:ascii="Calibri" w:hAnsi="Calibri"/>
                <w:b/>
                <w:color w:val="FFFFFF"/>
                <w:sz w:val="16"/>
              </w:rPr>
              <w:t>Author</w:t>
            </w:r>
          </w:p>
        </w:tc>
      </w:tr>
      <w:tr>
        <w:trPr>
          <w:cantSplit/>
        </w:trPr>
        <w:tc>
          <w:tcPr>
            <w:tcW w:type="dxa" w:w="1080"/>
            <w:tcMar>
              <w:top w:w="80" w:type="dxa"/>
              <w:start w:w="110" w:type="dxa"/>
              <w:bottom w:w="80" w:type="dxa"/>
              <w:end w:w="110" w:type="dxa"/>
            </w:tcMar>
            <w:vAlign w:val="center"/>
          </w:tcPr>
          <w:p>
            <w:pPr>
              <w:widowControl/>
              <w:spacing w:after="0"/>
            </w:pPr>
            <w:r>
              <w:rPr>
                <w:rFonts w:ascii="Calibri" w:hAnsi="Calibri"/>
                <w:b w:val="0"/>
                <w:color w:val="1F2937"/>
                <w:sz w:val="16"/>
              </w:rPr>
              <w:t>0.1</w:t>
            </w:r>
          </w:p>
        </w:tc>
        <w:tc>
          <w:tcPr>
            <w:tcW w:type="dxa" w:w="1440"/>
            <w:tcMar>
              <w:top w:w="80" w:type="dxa"/>
              <w:start w:w="110" w:type="dxa"/>
              <w:bottom w:w="80" w:type="dxa"/>
              <w:end w:w="110" w:type="dxa"/>
            </w:tcMar>
            <w:vAlign w:val="center"/>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tcPr>
          <w:p>
            <w:pPr>
              <w:widowControl/>
              <w:spacing w:after="0"/>
            </w:pPr>
            <w:r>
              <w:rPr>
                <w:rFonts w:ascii="Calibri" w:hAnsi="Calibri"/>
                <w:b w:val="0"/>
                <w:color w:val="1F2937"/>
                <w:sz w:val="16"/>
              </w:rPr>
              <w:t>Initial template tailoring</w:t>
            </w:r>
          </w:p>
        </w:tc>
        <w:tc>
          <w:tcPr>
            <w:tcW w:type="dxa" w:w="2102"/>
            <w:tcMar>
              <w:top w:w="80" w:type="dxa"/>
              <w:start w:w="110" w:type="dxa"/>
              <w:bottom w:w="80" w:type="dxa"/>
              <w:end w:w="110" w:type="dxa"/>
            </w:tcMar>
            <w:vAlign w:val="center"/>
          </w:tcPr>
          <w:p>
            <w:pPr>
              <w:widowControl/>
              <w:spacing w:after="0"/>
            </w:pPr>
            <w:r>
              <w:rPr>
                <w:rFonts w:ascii="Calibri" w:hAnsi="Calibri"/>
                <w:b w:val="0"/>
                <w:color w:val="1F2937"/>
                <w:sz w:val="16"/>
              </w:rPr>
              <w:t>[NAME]</w:t>
            </w:r>
          </w:p>
        </w:tc>
      </w:tr>
      <w:tr>
        <w:trPr>
          <w:cantSplit/>
        </w:trPr>
        <w:tc>
          <w:tcPr>
            <w:tcW w:type="dxa" w:w="1080"/>
            <w:tcMar>
              <w:top w:w="80" w:type="dxa"/>
              <w:start w:w="110" w:type="dxa"/>
              <w:bottom w:w="80" w:type="dxa"/>
              <w:end w:w="110" w:type="dxa"/>
            </w:tcMar>
            <w:vAlign w:val="center"/>
            <w:shd w:fill="F8FAFC"/>
          </w:tcPr>
          <w:p>
            <w:pPr>
              <w:widowControl/>
              <w:spacing w:after="0"/>
            </w:pPr>
            <w:r>
              <w:rPr>
                <w:rFonts w:ascii="Calibri" w:hAnsi="Calibri"/>
                <w:b w:val="0"/>
                <w:color w:val="1F2937"/>
                <w:sz w:val="16"/>
              </w:rPr>
              <w:t>1.0</w:t>
            </w:r>
          </w:p>
        </w:tc>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shd w:fill="F8FAFC"/>
          </w:tcPr>
          <w:p>
            <w:pPr>
              <w:widowControl/>
              <w:spacing w:after="0"/>
            </w:pPr>
            <w:r>
              <w:rPr>
                <w:rFonts w:ascii="Calibri" w:hAnsi="Calibri"/>
                <w:b w:val="0"/>
                <w:color w:val="1F2937"/>
                <w:sz w:val="16"/>
              </w:rPr>
              <w:t>First approved version</w:t>
            </w:r>
          </w:p>
        </w:tc>
        <w:tc>
          <w:tcPr>
            <w:tcW w:type="dxa" w:w="2102"/>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r>
      <w:tr>
        <w:tc>
          <w:tcPr>
            <w:tcW w:type="dxa" w:w="1080"/>
          </w:tcPr>
          <w:p>
            <w:pPr>
              <w:keepLines/>
            </w:pPr>
            <w:r>
              <w:t>1.1</w:t>
            </w:r>
          </w:p>
        </w:tc>
        <w:tc>
          <w:tcPr>
            <w:tcW w:type="dxa" w:w="1440"/>
          </w:tcPr>
          <w:p>
            <w:pPr>
              <w:keepLines/>
            </w:pPr>
            <w:r>
              <w:t>23 July 2026</w:t>
            </w:r>
          </w:p>
        </w:tc>
        <w:tc>
          <w:tcPr>
            <w:tcW w:type="dxa" w:w="5256"/>
          </w:tcPr>
          <w:p>
            <w:pPr>
              <w:keepLines/>
            </w:pPr>
            <w:r>
              <w:t>D06 Annexes A–E added; 206 broken references remediated; 19 authority-only records remapped to R00 Appendix A; supporting workbooks, evidence mapping and site library updated.</w:t>
            </w:r>
          </w:p>
        </w:tc>
        <w:tc>
          <w:tcPr>
            <w:tcW w:type="dxa" w:w="2102"/>
          </w:tcPr>
          <w:p>
            <w:pPr>
              <w:keepLines/>
            </w:pPr>
            <w:r>
              <w:t>[NAME]</w:t>
            </w:r>
          </w:p>
        </w:tc>
      </w:tr>
    </w:tbl>
    <w:p>
      <w:pPr>
        <w:widowControl/>
        <w:spacing w:after="0"/>
      </w:pPr>
    </w:p>
    <w:p>
      <w:pPr>
        <w:pStyle w:val="Heading1"/>
        <w:widowControl/>
      </w:pPr>
      <w:r>
        <w:t>Executive conclusion</w:t>
      </w:r>
    </w:p>
    <w:tbl>
      <w:tblPr>
        <w:tblW w:type="auto" w:w="0"/>
        <w:jc w:val="center"/>
        <w:tblLayout w:type="fixed"/>
        <w:tblLook w:firstColumn="1" w:firstRow="1" w:lastColumn="0" w:lastRow="0" w:noHBand="0" w:noVBand="1" w:val="04A0"/>
      </w:tblPr>
      <w:tblGrid>
        <w:gridCol w:w="158"/>
        <w:gridCol w:w="9720"/>
      </w:tblGrid>
      <w:tr>
        <w:tc>
          <w:tcPr>
            <w:tcW w:type="dxa" w:w="158"/>
            <w:shd w:fill="0F6B78"/>
            <w:tcMar>
              <w:top w:w="0" w:type="dxa"/>
              <w:start w:w="0" w:type="dxa"/>
              <w:bottom w:w="0" w:type="dxa"/>
              <w:end w:w="0" w:type="dxa"/>
            </w:tcMar>
            <w:vAlign w:val="center"/>
          </w:tcPr>
          <w:p>
            <w:pPr>
              <w:widowControl/>
            </w:pPr>
          </w:p>
        </w:tc>
        <w:tc>
          <w:tcPr>
            <w:tcW w:type="dxa" w:w="9720"/>
            <w:shd w:fill="F3F7FA"/>
            <w:tcMar>
              <w:top w:w="100" w:type="dxa"/>
              <w:start w:w="145" w:type="dxa"/>
              <w:bottom w:w="100" w:type="dxa"/>
              <w:end w:w="145" w:type="dxa"/>
            </w:tcMar>
            <w:vAlign w:val="center"/>
          </w:tcPr>
          <w:p>
            <w:pPr>
              <w:widowControl/>
            </w:pPr>
            <w:r>
              <w:rPr>
                <w:rFonts w:ascii="Calibri" w:hAnsi="Calibri"/>
                <w:b/>
                <w:color w:val="0F6B78"/>
                <w:sz w:val="17"/>
              </w:rPr>
              <w:t>WHAT THIS SUITE IS</w:t>
            </w:r>
            <w:r>
              <w:rPr>
                <w:rFonts w:ascii="Calibri" w:hAnsi="Calibri"/>
              </w:rPr>
              <w:br/>
              <w:t>A reusable, conservative but proportionate template architecture for a small and non-interconnected investment firm. It is not a compliance certificate and does not substitute for client facts, technical implementation, testing, provider remediation or independent assurance.</w:t>
            </w:r>
          </w:p>
        </w:tc>
      </w:tr>
    </w:tbl>
    <w:p>
      <w:pPr>
        <w:widowControl/>
        <w:spacing w:after="0"/>
      </w:pPr>
    </w:p>
    <w:p>
      <w:pPr>
        <w:widowControl/>
      </w:pPr>
      <w:r>
        <w:t>The suite separates document readiness from operational implementation and evidence. D01–D14 form a single control system: D01 governs; D02, D05, D06, D08, D09, D12 and D13 establish policies/procedures/programmes; D03, D04, D07, D10 and D14 hold structured records; D11 holds provider-level analysis and contractual/exit evidence.</w:t>
      </w:r>
    </w:p>
    <w:p>
      <w:pPr>
        <w:pStyle w:val="Heading1"/>
        <w:widowControl/>
      </w:pPr>
      <w:r>
        <w:t>1. Scope and assumptions</w:t>
      </w:r>
    </w:p>
    <w:tbl>
      <w:tblPr>
        <w:tblStyle w:val="TableGrid"/>
        <w:tblW w:type="auto" w:w="0"/>
        <w:jc w:val="center"/>
        <w:tblLayout w:type="fixed"/>
        <w:tblLook w:firstColumn="1" w:firstRow="1" w:lastColumn="0" w:lastRow="0" w:noHBand="0" w:noVBand="1" w:val="04A0"/>
      </w:tblPr>
      <w:tblGrid>
        <w:gridCol w:w="2160"/>
        <w:gridCol w:w="7718"/>
      </w:tblGrid>
      <w:tr>
        <w:trPr>
          <w:tblHeader w:val="true"/>
        </w:trPr>
        <w:tc>
          <w:tcPr>
            <w:tcW w:type="dxa" w:w="2160"/>
            <w:shd w:fill="17365D"/>
            <w:tcMar>
              <w:top w:w="80" w:type="dxa"/>
              <w:start w:w="110" w:type="dxa"/>
              <w:bottom w:w="80" w:type="dxa"/>
              <w:end w:w="110" w:type="dxa"/>
            </w:tcMar>
            <w:vAlign w:val="center"/>
          </w:tcPr>
          <w:p>
            <w:pPr>
              <w:widowControl/>
            </w:pPr>
            <w:r>
              <w:rPr>
                <w:rFonts w:ascii="Calibri" w:hAnsi="Calibri"/>
                <w:b/>
                <w:color w:val="FFFFFF"/>
                <w:sz w:val="16"/>
              </w:rPr>
              <w:t>Assumption</w:t>
            </w:r>
          </w:p>
        </w:tc>
        <w:tc>
          <w:tcPr>
            <w:tcW w:type="dxa" w:w="7718"/>
            <w:shd w:fill="17365D"/>
            <w:tcMar>
              <w:top w:w="80" w:type="dxa"/>
              <w:start w:w="110" w:type="dxa"/>
              <w:bottom w:w="80" w:type="dxa"/>
              <w:end w:w="110" w:type="dxa"/>
            </w:tcMar>
            <w:vAlign w:val="center"/>
          </w:tcPr>
          <w:p>
            <w:pPr>
              <w:widowControl/>
            </w:pPr>
            <w:r>
              <w:rPr>
                <w:rFonts w:ascii="Calibri" w:hAnsi="Calibri"/>
                <w:b/>
                <w:color w:val="FFFFFF"/>
                <w:sz w:val="16"/>
              </w:rPr>
              <w:t>Position</w:t>
            </w:r>
          </w:p>
        </w:tc>
      </w:tr>
      <w:tr>
        <w:trPr>
          <w:cantSplit/>
        </w:trPr>
        <w:tc>
          <w:tcPr>
            <w:tcW w:type="dxa" w:w="2160"/>
            <w:tcMar>
              <w:top w:w="80" w:type="dxa"/>
              <w:start w:w="110" w:type="dxa"/>
              <w:bottom w:w="80" w:type="dxa"/>
              <w:end w:w="110" w:type="dxa"/>
            </w:tcMar>
            <w:vAlign w:val="center"/>
          </w:tcPr>
          <w:p>
            <w:pPr>
              <w:widowControl/>
              <w:spacing w:after="0"/>
            </w:pPr>
            <w:r>
              <w:rPr>
                <w:rFonts w:ascii="Calibri" w:hAnsi="Calibri"/>
                <w:b/>
                <w:color w:val="1F4D78"/>
                <w:sz w:val="16"/>
              </w:rPr>
              <w:t>Entity</w:t>
            </w:r>
          </w:p>
        </w:tc>
        <w:tc>
          <w:tcPr>
            <w:tcW w:type="dxa" w:w="7718"/>
            <w:tcMar>
              <w:top w:w="80" w:type="dxa"/>
              <w:start w:w="110" w:type="dxa"/>
              <w:bottom w:w="80" w:type="dxa"/>
              <w:end w:w="110" w:type="dxa"/>
            </w:tcMar>
            <w:vAlign w:val="center"/>
          </w:tcPr>
          <w:p>
            <w:pPr>
              <w:widowControl/>
              <w:spacing w:after="0"/>
            </w:pPr>
            <w:r>
              <w:rPr>
                <w:rFonts w:ascii="Calibri" w:hAnsi="Calibri"/>
                <w:b w:val="0"/>
                <w:color w:val="1F2937"/>
                <w:sz w:val="16"/>
              </w:rPr>
              <w:t>Icelandic investment firm within DORA scope and meeting the SNI criteria in Article 12(1) IFR.</w:t>
            </w:r>
          </w:p>
        </w:tc>
      </w:tr>
      <w:tr>
        <w:trPr>
          <w:cantSplit/>
        </w:trPr>
        <w:tc>
          <w:tcPr>
            <w:tcW w:type="dxa" w:w="2160"/>
            <w:tcMar>
              <w:top w:w="80" w:type="dxa"/>
              <w:start w:w="110" w:type="dxa"/>
              <w:bottom w:w="80" w:type="dxa"/>
              <w:end w:w="110" w:type="dxa"/>
            </w:tcMar>
            <w:vAlign w:val="center"/>
            <w:shd w:fill="F8FAFC"/>
          </w:tcPr>
          <w:p>
            <w:pPr>
              <w:widowControl/>
              <w:spacing w:after="0"/>
            </w:pPr>
            <w:r>
              <w:rPr>
                <w:rFonts w:ascii="Calibri" w:hAnsi="Calibri"/>
                <w:b/>
                <w:color w:val="1F4D78"/>
                <w:sz w:val="16"/>
              </w:rPr>
              <w:t>Framework</w:t>
            </w:r>
          </w:p>
        </w:tc>
        <w:tc>
          <w:tcPr>
            <w:tcW w:type="dxa" w:w="7718"/>
            <w:tcMar>
              <w:top w:w="80" w:type="dxa"/>
              <w:start w:w="110" w:type="dxa"/>
              <w:bottom w:w="80" w:type="dxa"/>
              <w:end w:w="110" w:type="dxa"/>
            </w:tcMar>
            <w:vAlign w:val="center"/>
            <w:shd w:fill="F8FAFC"/>
          </w:tcPr>
          <w:p>
            <w:pPr>
              <w:widowControl/>
              <w:spacing w:after="0"/>
            </w:pPr>
            <w:r>
              <w:rPr>
                <w:rFonts w:ascii="Calibri" w:hAnsi="Calibri"/>
                <w:b w:val="0"/>
                <w:color w:val="1F2937"/>
                <w:sz w:val="16"/>
              </w:rPr>
              <w:t>Article 16 simplified ICT risk management framework; DORA Articles 5–15 are excluded.</w:t>
            </w:r>
          </w:p>
        </w:tc>
      </w:tr>
      <w:tr>
        <w:trPr>
          <w:cantSplit/>
        </w:trPr>
        <w:tc>
          <w:tcPr>
            <w:tcW w:type="dxa" w:w="2160"/>
            <w:tcMar>
              <w:top w:w="80" w:type="dxa"/>
              <w:start w:w="110" w:type="dxa"/>
              <w:bottom w:w="80" w:type="dxa"/>
              <w:end w:w="110" w:type="dxa"/>
            </w:tcMar>
            <w:vAlign w:val="center"/>
          </w:tcPr>
          <w:p>
            <w:pPr>
              <w:widowControl/>
              <w:spacing w:after="0"/>
            </w:pPr>
            <w:r>
              <w:rPr>
                <w:rFonts w:ascii="Calibri" w:hAnsi="Calibri"/>
                <w:b/>
                <w:color w:val="1F4D78"/>
                <w:sz w:val="16"/>
              </w:rPr>
              <w:t>Microenterprise</w:t>
            </w:r>
          </w:p>
        </w:tc>
        <w:tc>
          <w:tcPr>
            <w:tcW w:type="dxa" w:w="7718"/>
            <w:tcMar>
              <w:top w:w="80" w:type="dxa"/>
              <w:start w:w="110" w:type="dxa"/>
              <w:bottom w:w="80" w:type="dxa"/>
              <w:end w:w="110" w:type="dxa"/>
            </w:tcMar>
            <w:vAlign w:val="center"/>
          </w:tcPr>
          <w:p>
            <w:pPr>
              <w:widowControl/>
              <w:spacing w:after="0"/>
            </w:pPr>
            <w:r>
              <w:rPr>
                <w:rFonts w:ascii="Calibri" w:hAnsi="Calibri"/>
                <w:b w:val="0"/>
                <w:color w:val="1F2937"/>
                <w:sz w:val="16"/>
              </w:rPr>
              <w:t>Not assumed. Record separately because SNI and DORA microenterprise are different tests.</w:t>
            </w:r>
          </w:p>
        </w:tc>
      </w:tr>
      <w:tr>
        <w:trPr>
          <w:cantSplit/>
        </w:trPr>
        <w:tc>
          <w:tcPr>
            <w:tcW w:type="dxa" w:w="2160"/>
            <w:tcMar>
              <w:top w:w="80" w:type="dxa"/>
              <w:start w:w="110" w:type="dxa"/>
              <w:bottom w:w="80" w:type="dxa"/>
              <w:end w:w="110" w:type="dxa"/>
            </w:tcMar>
            <w:vAlign w:val="center"/>
            <w:shd w:fill="F8FAFC"/>
          </w:tcPr>
          <w:p>
            <w:pPr>
              <w:widowControl/>
              <w:spacing w:after="0"/>
            </w:pPr>
            <w:r>
              <w:rPr>
                <w:rFonts w:ascii="Calibri" w:hAnsi="Calibri"/>
                <w:b/>
                <w:color w:val="1F4D78"/>
                <w:sz w:val="16"/>
              </w:rPr>
              <w:t>Operating model</w:t>
            </w:r>
          </w:p>
        </w:tc>
        <w:tc>
          <w:tcPr>
            <w:tcW w:type="dxa" w:w="7718"/>
            <w:tcMar>
              <w:top w:w="80" w:type="dxa"/>
              <w:start w:w="110" w:type="dxa"/>
              <w:bottom w:w="80" w:type="dxa"/>
              <w:end w:w="110" w:type="dxa"/>
            </w:tcMar>
            <w:vAlign w:val="center"/>
            <w:shd w:fill="F8FAFC"/>
          </w:tcPr>
          <w:p>
            <w:pPr>
              <w:widowControl/>
              <w:spacing w:after="0"/>
            </w:pPr>
            <w:r>
              <w:rPr>
                <w:rFonts w:ascii="Calibri" w:hAnsi="Calibri"/>
                <w:b w:val="0"/>
                <w:color w:val="1F2937"/>
                <w:sz w:val="16"/>
              </w:rPr>
              <w:t>Small, SaaS/cloud-dependent firm with no material proprietary software development; optional development controls retained.</w:t>
            </w:r>
          </w:p>
        </w:tc>
      </w:tr>
      <w:tr>
        <w:trPr>
          <w:cantSplit/>
        </w:trPr>
        <w:tc>
          <w:tcPr>
            <w:tcW w:type="dxa" w:w="2160"/>
            <w:tcMar>
              <w:top w:w="80" w:type="dxa"/>
              <w:start w:w="110" w:type="dxa"/>
              <w:bottom w:w="80" w:type="dxa"/>
              <w:end w:w="110" w:type="dxa"/>
            </w:tcMar>
            <w:vAlign w:val="center"/>
          </w:tcPr>
          <w:p>
            <w:pPr>
              <w:widowControl/>
              <w:spacing w:after="0"/>
            </w:pPr>
            <w:r>
              <w:rPr>
                <w:rFonts w:ascii="Calibri" w:hAnsi="Calibri"/>
                <w:b/>
                <w:color w:val="1F4D78"/>
                <w:sz w:val="16"/>
              </w:rPr>
              <w:t>Client assets/payments</w:t>
            </w:r>
          </w:p>
        </w:tc>
        <w:tc>
          <w:tcPr>
            <w:tcW w:type="dxa" w:w="7718"/>
            <w:tcMar>
              <w:top w:w="80" w:type="dxa"/>
              <w:start w:w="110" w:type="dxa"/>
              <w:bottom w:w="80" w:type="dxa"/>
              <w:end w:w="110" w:type="dxa"/>
            </w:tcMar>
            <w:vAlign w:val="center"/>
          </w:tcPr>
          <w:p>
            <w:pPr>
              <w:widowControl/>
              <w:spacing w:after="0"/>
            </w:pPr>
            <w:r>
              <w:rPr>
                <w:rFonts w:ascii="Calibri" w:hAnsi="Calibri"/>
                <w:b w:val="0"/>
                <w:color w:val="1F2937"/>
                <w:sz w:val="16"/>
              </w:rPr>
              <w:t>No assumption; conditional modules and fact-finding fields retained.</w:t>
            </w:r>
          </w:p>
        </w:tc>
      </w:tr>
      <w:tr>
        <w:trPr>
          <w:cantSplit/>
        </w:trPr>
        <w:tc>
          <w:tcPr>
            <w:tcW w:type="dxa" w:w="2160"/>
            <w:tcMar>
              <w:top w:w="80" w:type="dxa"/>
              <w:start w:w="110" w:type="dxa"/>
              <w:bottom w:w="80" w:type="dxa"/>
              <w:end w:w="110" w:type="dxa"/>
            </w:tcMar>
            <w:vAlign w:val="center"/>
            <w:shd w:fill="F8FAFC"/>
          </w:tcPr>
          <w:p>
            <w:pPr>
              <w:widowControl/>
              <w:spacing w:after="0"/>
            </w:pPr>
            <w:r>
              <w:rPr>
                <w:rFonts w:ascii="Calibri" w:hAnsi="Calibri"/>
                <w:b/>
                <w:color w:val="1F4D78"/>
                <w:sz w:val="16"/>
              </w:rPr>
              <w:t>TLPT</w:t>
            </w:r>
          </w:p>
        </w:tc>
        <w:tc>
          <w:tcPr>
            <w:tcW w:type="dxa" w:w="7718"/>
            <w:tcMar>
              <w:top w:w="80" w:type="dxa"/>
              <w:start w:w="110" w:type="dxa"/>
              <w:bottom w:w="80" w:type="dxa"/>
              <w:end w:w="110" w:type="dxa"/>
            </w:tcMar>
            <w:vAlign w:val="center"/>
            <w:shd w:fill="F8FAFC"/>
          </w:tcPr>
          <w:p>
            <w:pPr>
              <w:widowControl/>
              <w:spacing w:after="0"/>
            </w:pPr>
            <w:r>
              <w:rPr>
                <w:rFonts w:ascii="Calibri" w:hAnsi="Calibri"/>
                <w:b w:val="0"/>
                <w:color w:val="1F2937"/>
                <w:sz w:val="16"/>
              </w:rPr>
              <w:t>No designation assumed; monitoring and activation checklist retained.</w:t>
            </w:r>
          </w:p>
        </w:tc>
      </w:tr>
      <w:tr>
        <w:trPr>
          <w:cantSplit/>
        </w:trPr>
        <w:tc>
          <w:tcPr>
            <w:tcW w:type="dxa" w:w="2160"/>
            <w:tcMar>
              <w:top w:w="80" w:type="dxa"/>
              <w:start w:w="110" w:type="dxa"/>
              <w:bottom w:w="80" w:type="dxa"/>
              <w:end w:w="110" w:type="dxa"/>
            </w:tcMar>
            <w:vAlign w:val="center"/>
          </w:tcPr>
          <w:p>
            <w:pPr>
              <w:widowControl/>
              <w:spacing w:after="0"/>
            </w:pPr>
            <w:r>
              <w:rPr>
                <w:rFonts w:ascii="Calibri" w:hAnsi="Calibri"/>
                <w:b/>
                <w:color w:val="1F4D78"/>
                <w:sz w:val="16"/>
              </w:rPr>
              <w:t>Language / branding</w:t>
            </w:r>
          </w:p>
        </w:tc>
        <w:tc>
          <w:tcPr>
            <w:tcW w:type="dxa" w:w="7718"/>
            <w:tcMar>
              <w:top w:w="80" w:type="dxa"/>
              <w:start w:w="110" w:type="dxa"/>
              <w:bottom w:w="80" w:type="dxa"/>
              <w:end w:w="110" w:type="dxa"/>
            </w:tcMar>
            <w:vAlign w:val="center"/>
          </w:tcPr>
          <w:p>
            <w:pPr>
              <w:widowControl/>
              <w:spacing w:after="0"/>
            </w:pPr>
            <w:r>
              <w:rPr>
                <w:rFonts w:ascii="Calibri" w:hAnsi="Calibri"/>
                <w:b w:val="0"/>
                <w:color w:val="1F2937"/>
                <w:sz w:val="16"/>
              </w:rPr>
              <w:t>English, neutral reusable internal templates.</w:t>
            </w:r>
          </w:p>
        </w:tc>
      </w:tr>
      <w:tr>
        <w:trPr>
          <w:cantSplit/>
        </w:trPr>
        <w:tc>
          <w:tcPr>
            <w:tcW w:type="dxa" w:w="2160"/>
            <w:tcMar>
              <w:top w:w="80" w:type="dxa"/>
              <w:start w:w="110" w:type="dxa"/>
              <w:bottom w:w="80" w:type="dxa"/>
              <w:end w:w="110" w:type="dxa"/>
            </w:tcMar>
            <w:vAlign w:val="center"/>
            <w:shd w:fill="F8FAFC"/>
          </w:tcPr>
          <w:p>
            <w:pPr>
              <w:widowControl/>
              <w:spacing w:after="0"/>
            </w:pPr>
            <w:r>
              <w:rPr>
                <w:rFonts w:ascii="Calibri" w:hAnsi="Calibri"/>
                <w:b/>
                <w:color w:val="1F4D78"/>
                <w:sz w:val="16"/>
              </w:rPr>
              <w:t>Readiness standard</w:t>
            </w:r>
          </w:p>
        </w:tc>
        <w:tc>
          <w:tcPr>
            <w:tcW w:type="dxa" w:w="7718"/>
            <w:tcMar>
              <w:top w:w="80" w:type="dxa"/>
              <w:start w:w="110" w:type="dxa"/>
              <w:bottom w:w="80" w:type="dxa"/>
              <w:end w:w="110" w:type="dxa"/>
            </w:tcMar>
            <w:vAlign w:val="center"/>
            <w:shd w:fill="F8FAFC"/>
          </w:tcPr>
          <w:p>
            <w:pPr>
              <w:widowControl/>
              <w:spacing w:after="0"/>
            </w:pPr>
            <w:r>
              <w:rPr>
                <w:rFonts w:ascii="Calibri" w:hAnsi="Calibri"/>
                <w:b w:val="0"/>
                <w:color w:val="1F2937"/>
                <w:sz w:val="16"/>
              </w:rPr>
              <w:t>Conservative licensing readiness, with proportional implementation and explicit validation flags.</w:t>
            </w:r>
          </w:p>
        </w:tc>
      </w:tr>
    </w:tbl>
    <w:p>
      <w:pPr>
        <w:widowControl/>
        <w:spacing w:after="0"/>
      </w:pPr>
    </w:p>
    <w:p>
      <w:pPr>
        <w:pStyle w:val="Heading1"/>
        <w:widowControl/>
      </w:pPr>
      <w:r>
        <w:t>2. Icelandic legal baseline</w:t>
      </w:r>
    </w:p>
    <w:p>
      <w:pPr>
        <w:widowControl/>
      </w:pPr>
      <w:r>
        <w:t>DORA has force of law in Iceland under Act No. 78/2025 from 1 January 2026. The Central Bank of Iceland is the competent authority and Rules No. 310/2026 incorporate the relevant incident, ICT-risk, third-party/subcontracting and TLPT Level 2 measures. The Central Bank’s public guidance identifies its reporting portal, advance-notification expectation and the register-of-information submission architecture.</w:t>
      </w:r>
    </w:p>
    <w:tbl>
      <w:tblPr>
        <w:tblW w:type="auto" w:w="0"/>
        <w:jc w:val="center"/>
        <w:tblLayout w:type="fixed"/>
        <w:tblLook w:firstColumn="1" w:firstRow="1" w:lastColumn="0" w:lastRow="0" w:noHBand="0" w:noVBand="1" w:val="04A0"/>
      </w:tblPr>
      <w:tblGrid>
        <w:gridCol w:w="158"/>
        <w:gridCol w:w="9720"/>
      </w:tblGrid>
      <w:tr>
        <w:tc>
          <w:tcPr>
            <w:tcW w:type="dxa" w:w="158"/>
            <w:shd w:fill="B7791F"/>
            <w:tcMar>
              <w:top w:w="0" w:type="dxa"/>
              <w:start w:w="0" w:type="dxa"/>
              <w:bottom w:w="0" w:type="dxa"/>
              <w:end w:w="0" w:type="dxa"/>
            </w:tcMar>
            <w:vAlign w:val="center"/>
          </w:tcPr>
          <w:p>
            <w:pPr>
              <w:widowControl/>
            </w:pPr>
          </w:p>
        </w:tc>
        <w:tc>
          <w:tcPr>
            <w:tcW w:type="dxa" w:w="9720"/>
            <w:shd w:fill="FFF9E6"/>
            <w:tcMar>
              <w:top w:w="100" w:type="dxa"/>
              <w:start w:w="145" w:type="dxa"/>
              <w:bottom w:w="100" w:type="dxa"/>
              <w:end w:w="145" w:type="dxa"/>
            </w:tcMar>
            <w:vAlign w:val="center"/>
          </w:tcPr>
          <w:p>
            <w:pPr>
              <w:widowControl/>
            </w:pPr>
            <w:r>
              <w:rPr>
                <w:rFonts w:ascii="Calibri" w:hAnsi="Calibri"/>
                <w:b/>
                <w:color w:val="B7791F"/>
                <w:sz w:val="17"/>
              </w:rPr>
              <w:t>IMPORTANT CORRECTION</w:t>
            </w:r>
            <w:r>
              <w:rPr>
                <w:rFonts w:ascii="Calibri" w:hAnsi="Calibri"/>
              </w:rPr>
              <w:br/>
              <w:t>RTS 2024/1773 is incorporated in Iceland, but its formal policy content is tied to DORA Article 28(2), which expressly excludes Article 16(1) SNI entities. Direct duties under Articles 28(1), 28(3)–(8), 29 and 30 remain applicable; D09 therefore retains proportionate lifecycle controls without asserting that the RTS 2024/1773 policy is mandatory.</w:t>
            </w:r>
          </w:p>
        </w:tc>
      </w:tr>
    </w:tbl>
    <w:p>
      <w:pPr>
        <w:widowControl/>
        <w:spacing w:after="0"/>
      </w:pPr>
    </w:p>
    <w:p>
      <w:pPr>
        <w:pStyle w:val="Heading1"/>
        <w:widowControl/>
      </w:pPr>
      <w:r>
        <w:t>3. Document architecture</w:t>
      </w:r>
    </w:p>
    <w:tbl>
      <w:tblPr>
        <w:tblStyle w:val="TableGrid"/>
        <w:tblW w:type="auto" w:w="0"/>
        <w:jc w:val="center"/>
        <w:tblLayout w:type="fixed"/>
        <w:tblLook w:firstColumn="1" w:firstRow="1" w:lastColumn="0" w:lastRow="0" w:noHBand="0" w:noVBand="1" w:val="04A0"/>
      </w:tblPr>
      <w:tblGrid>
        <w:gridCol w:w="792"/>
        <w:gridCol w:w="3600"/>
        <w:gridCol w:w="5486"/>
      </w:tblGrid>
      <w:tr>
        <w:trPr>
          <w:tblHeader w:val="true"/>
        </w:trPr>
        <w:tc>
          <w:tcPr>
            <w:tcW w:type="dxa" w:w="792"/>
            <w:shd w:fill="17365D"/>
            <w:tcMar>
              <w:top w:w="80" w:type="dxa"/>
              <w:start w:w="110" w:type="dxa"/>
              <w:bottom w:w="80" w:type="dxa"/>
              <w:end w:w="110" w:type="dxa"/>
            </w:tcMar>
            <w:vAlign w:val="center"/>
          </w:tcPr>
          <w:p>
            <w:pPr>
              <w:widowControl/>
            </w:pPr>
            <w:r>
              <w:rPr>
                <w:rFonts w:ascii="Calibri" w:hAnsi="Calibri"/>
                <w:b/>
                <w:color w:val="FFFFFF"/>
                <w:sz w:val="15"/>
              </w:rPr>
              <w:t>ID</w:t>
            </w:r>
          </w:p>
        </w:tc>
        <w:tc>
          <w:tcPr>
            <w:tcW w:type="dxa" w:w="3600"/>
            <w:shd w:fill="17365D"/>
            <w:tcMar>
              <w:top w:w="80" w:type="dxa"/>
              <w:start w:w="110" w:type="dxa"/>
              <w:bottom w:w="80" w:type="dxa"/>
              <w:end w:w="110" w:type="dxa"/>
            </w:tcMar>
            <w:vAlign w:val="center"/>
          </w:tcPr>
          <w:p>
            <w:pPr>
              <w:widowControl/>
            </w:pPr>
            <w:r>
              <w:rPr>
                <w:rFonts w:ascii="Calibri" w:hAnsi="Calibri"/>
                <w:b/>
                <w:color w:val="FFFFFF"/>
                <w:sz w:val="15"/>
              </w:rPr>
              <w:t>Deliverable</w:t>
            </w:r>
          </w:p>
        </w:tc>
        <w:tc>
          <w:tcPr>
            <w:tcW w:type="dxa" w:w="5486"/>
            <w:shd w:fill="17365D"/>
            <w:tcMar>
              <w:top w:w="80" w:type="dxa"/>
              <w:start w:w="110" w:type="dxa"/>
              <w:bottom w:w="80" w:type="dxa"/>
              <w:end w:w="110" w:type="dxa"/>
            </w:tcMar>
            <w:vAlign w:val="center"/>
          </w:tcPr>
          <w:p>
            <w:pPr>
              <w:widowControl/>
            </w:pPr>
            <w:r>
              <w:rPr>
                <w:rFonts w:ascii="Calibri" w:hAnsi="Calibri"/>
                <w:b/>
                <w:color w:val="FFFFFF"/>
                <w:sz w:val="15"/>
              </w:rPr>
              <w:t>Function</w:t>
            </w:r>
          </w:p>
        </w:tc>
      </w:tr>
      <w:tr>
        <w:trPr>
          <w:cantSplit/>
        </w:trPr>
        <w:tc>
          <w:tcPr>
            <w:tcW w:type="dxa" w:w="792"/>
            <w:tcMar>
              <w:top w:w="80" w:type="dxa"/>
              <w:start w:w="110" w:type="dxa"/>
              <w:bottom w:w="80" w:type="dxa"/>
              <w:end w:w="110" w:type="dxa"/>
            </w:tcMar>
            <w:vAlign w:val="center"/>
          </w:tcPr>
          <w:p>
            <w:pPr>
              <w:widowControl/>
              <w:spacing w:after="0"/>
            </w:pPr>
            <w:r>
              <w:rPr>
                <w:rFonts w:ascii="Calibri" w:hAnsi="Calibri"/>
                <w:b/>
                <w:color w:val="1F4D78"/>
                <w:sz w:val="15"/>
              </w:rPr>
              <w:t>D01</w:t>
            </w:r>
          </w:p>
        </w:tc>
        <w:tc>
          <w:tcPr>
            <w:tcW w:type="dxa" w:w="3600"/>
            <w:tcMar>
              <w:top w:w="80" w:type="dxa"/>
              <w:start w:w="110" w:type="dxa"/>
              <w:bottom w:w="80" w:type="dxa"/>
              <w:end w:w="110" w:type="dxa"/>
            </w:tcMar>
            <w:vAlign w:val="center"/>
          </w:tcPr>
          <w:p>
            <w:pPr>
              <w:widowControl/>
              <w:spacing w:after="0"/>
            </w:pPr>
            <w:r>
              <w:rPr>
                <w:rFonts w:ascii="Calibri" w:hAnsi="Calibri"/>
                <w:b w:val="0"/>
                <w:color w:val="1F2937"/>
                <w:sz w:val="15"/>
              </w:rPr>
              <w:t>Governance &amp; simplified ICT-risk framework</w:t>
            </w:r>
          </w:p>
        </w:tc>
        <w:tc>
          <w:tcPr>
            <w:tcW w:type="dxa" w:w="5486"/>
            <w:tcMar>
              <w:top w:w="80" w:type="dxa"/>
              <w:start w:w="110" w:type="dxa"/>
              <w:bottom w:w="80" w:type="dxa"/>
              <w:end w:w="110" w:type="dxa"/>
            </w:tcMar>
            <w:vAlign w:val="center"/>
          </w:tcPr>
          <w:p>
            <w:pPr>
              <w:widowControl/>
              <w:spacing w:after="0"/>
            </w:pPr>
            <w:r>
              <w:rPr>
                <w:rFonts w:ascii="Calibri" w:hAnsi="Calibri"/>
                <w:b w:val="0"/>
                <w:color w:val="1F2937"/>
                <w:sz w:val="15"/>
              </w:rPr>
              <w:t>Board governance, proportionality, risk tolerance, methodology, reporting, review.</w:t>
            </w:r>
          </w:p>
        </w:tc>
      </w:tr>
      <w:tr>
        <w:trPr>
          <w:cantSplit/>
        </w:trPr>
        <w:tc>
          <w:tcPr>
            <w:tcW w:type="dxa" w:w="792"/>
            <w:tcMar>
              <w:top w:w="80" w:type="dxa"/>
              <w:start w:w="110" w:type="dxa"/>
              <w:bottom w:w="80" w:type="dxa"/>
              <w:end w:w="110" w:type="dxa"/>
            </w:tcMar>
            <w:vAlign w:val="center"/>
            <w:shd w:fill="F8FAFC"/>
          </w:tcPr>
          <w:p>
            <w:pPr>
              <w:widowControl/>
              <w:spacing w:after="0"/>
            </w:pPr>
            <w:r>
              <w:rPr>
                <w:rFonts w:ascii="Calibri" w:hAnsi="Calibri"/>
                <w:b/>
                <w:color w:val="1F4D78"/>
                <w:sz w:val="15"/>
              </w:rPr>
              <w:t>D02</w:t>
            </w:r>
          </w:p>
        </w:tc>
        <w:tc>
          <w:tcPr>
            <w:tcW w:type="dxa" w:w="3600"/>
            <w:tcMar>
              <w:top w:w="80" w:type="dxa"/>
              <w:start w:w="110" w:type="dxa"/>
              <w:bottom w:w="80" w:type="dxa"/>
              <w:end w:w="110" w:type="dxa"/>
            </w:tcMar>
            <w:vAlign w:val="center"/>
            <w:shd w:fill="F8FAFC"/>
          </w:tcPr>
          <w:p>
            <w:pPr>
              <w:widowControl/>
              <w:spacing w:after="0"/>
            </w:pPr>
            <w:r>
              <w:rPr>
                <w:rFonts w:ascii="Calibri" w:hAnsi="Calibri"/>
                <w:b w:val="0"/>
                <w:color w:val="1F2937"/>
                <w:sz w:val="15"/>
              </w:rPr>
              <w:t>Information security &amp; ICT operations</w:t>
            </w:r>
          </w:p>
        </w:tc>
        <w:tc>
          <w:tcPr>
            <w:tcW w:type="dxa" w:w="5486"/>
            <w:tcMar>
              <w:top w:w="80" w:type="dxa"/>
              <w:start w:w="110" w:type="dxa"/>
              <w:bottom w:w="80" w:type="dxa"/>
              <w:end w:w="110" w:type="dxa"/>
            </w:tcMar>
            <w:vAlign w:val="center"/>
            <w:shd w:fill="F8FAFC"/>
          </w:tcPr>
          <w:p>
            <w:pPr>
              <w:widowControl/>
              <w:spacing w:after="0"/>
            </w:pPr>
            <w:r>
              <w:rPr>
                <w:rFonts w:ascii="Calibri" w:hAnsi="Calibri"/>
                <w:b w:val="0"/>
                <w:color w:val="1F2937"/>
                <w:sz w:val="15"/>
              </w:rPr>
              <w:t>Consolidated security/operations policy rather than proliferating standalone policies.</w:t>
            </w:r>
          </w:p>
        </w:tc>
      </w:tr>
      <w:tr>
        <w:trPr>
          <w:cantSplit/>
        </w:trPr>
        <w:tc>
          <w:tcPr>
            <w:tcW w:type="dxa" w:w="792"/>
            <w:tcMar>
              <w:top w:w="80" w:type="dxa"/>
              <w:start w:w="110" w:type="dxa"/>
              <w:bottom w:w="80" w:type="dxa"/>
              <w:end w:w="110" w:type="dxa"/>
            </w:tcMar>
            <w:vAlign w:val="center"/>
          </w:tcPr>
          <w:p>
            <w:pPr>
              <w:widowControl/>
              <w:spacing w:after="0"/>
            </w:pPr>
            <w:r>
              <w:rPr>
                <w:rFonts w:ascii="Calibri" w:hAnsi="Calibri"/>
                <w:b/>
                <w:color w:val="1F4D78"/>
                <w:sz w:val="15"/>
              </w:rPr>
              <w:t>D03</w:t>
            </w:r>
          </w:p>
        </w:tc>
        <w:tc>
          <w:tcPr>
            <w:tcW w:type="dxa" w:w="3600"/>
            <w:tcMar>
              <w:top w:w="80" w:type="dxa"/>
              <w:start w:w="110" w:type="dxa"/>
              <w:bottom w:w="80" w:type="dxa"/>
              <w:end w:w="110" w:type="dxa"/>
            </w:tcMar>
            <w:vAlign w:val="center"/>
          </w:tcPr>
          <w:p>
            <w:pPr>
              <w:widowControl/>
              <w:spacing w:after="0"/>
            </w:pPr>
            <w:r>
              <w:rPr>
                <w:rFonts w:ascii="Calibri" w:hAnsi="Calibri"/>
                <w:b w:val="0"/>
                <w:color w:val="1F2937"/>
                <w:sz w:val="15"/>
              </w:rPr>
              <w:t>ICT risk register</w:t>
            </w:r>
          </w:p>
        </w:tc>
        <w:tc>
          <w:tcPr>
            <w:tcW w:type="dxa" w:w="5486"/>
            <w:tcMar>
              <w:top w:w="80" w:type="dxa"/>
              <w:start w:w="110" w:type="dxa"/>
              <w:bottom w:w="80" w:type="dxa"/>
              <w:end w:w="110" w:type="dxa"/>
            </w:tcMar>
            <w:vAlign w:val="center"/>
          </w:tcPr>
          <w:p>
            <w:pPr>
              <w:widowControl/>
              <w:spacing w:after="0"/>
            </w:pPr>
            <w:r>
              <w:rPr>
                <w:rFonts w:ascii="Calibri" w:hAnsi="Calibri"/>
                <w:b w:val="0"/>
                <w:color w:val="1F2937"/>
                <w:sz w:val="15"/>
              </w:rPr>
              <w:t>Risk scoring, treatment, acceptance, monitoring and decisions.</w:t>
            </w:r>
          </w:p>
        </w:tc>
      </w:tr>
      <w:tr>
        <w:trPr>
          <w:cantSplit/>
        </w:trPr>
        <w:tc>
          <w:tcPr>
            <w:tcW w:type="dxa" w:w="792"/>
            <w:tcMar>
              <w:top w:w="80" w:type="dxa"/>
              <w:start w:w="110" w:type="dxa"/>
              <w:bottom w:w="80" w:type="dxa"/>
              <w:end w:w="110" w:type="dxa"/>
            </w:tcMar>
            <w:vAlign w:val="center"/>
            <w:shd w:fill="F8FAFC"/>
          </w:tcPr>
          <w:p>
            <w:pPr>
              <w:widowControl/>
              <w:spacing w:after="0"/>
            </w:pPr>
            <w:r>
              <w:rPr>
                <w:rFonts w:ascii="Calibri" w:hAnsi="Calibri"/>
                <w:b/>
                <w:color w:val="1F4D78"/>
                <w:sz w:val="15"/>
              </w:rPr>
              <w:t>D04</w:t>
            </w:r>
          </w:p>
        </w:tc>
        <w:tc>
          <w:tcPr>
            <w:tcW w:type="dxa" w:w="3600"/>
            <w:tcMar>
              <w:top w:w="80" w:type="dxa"/>
              <w:start w:w="110" w:type="dxa"/>
              <w:bottom w:w="80" w:type="dxa"/>
              <w:end w:w="110" w:type="dxa"/>
            </w:tcMar>
            <w:vAlign w:val="center"/>
            <w:shd w:fill="F8FAFC"/>
          </w:tcPr>
          <w:p>
            <w:pPr>
              <w:widowControl/>
              <w:spacing w:after="0"/>
            </w:pPr>
            <w:r>
              <w:rPr>
                <w:rFonts w:ascii="Calibri" w:hAnsi="Calibri"/>
                <w:b w:val="0"/>
                <w:color w:val="1F2937"/>
                <w:sz w:val="15"/>
              </w:rPr>
              <w:t>Functions, assets &amp; dependencies</w:t>
            </w:r>
          </w:p>
        </w:tc>
        <w:tc>
          <w:tcPr>
            <w:tcW w:type="dxa" w:w="5486"/>
            <w:tcMar>
              <w:top w:w="80" w:type="dxa"/>
              <w:start w:w="110" w:type="dxa"/>
              <w:bottom w:w="80" w:type="dxa"/>
              <w:end w:w="110" w:type="dxa"/>
            </w:tcMar>
            <w:vAlign w:val="center"/>
            <w:shd w:fill="F8FAFC"/>
          </w:tcPr>
          <w:p>
            <w:pPr>
              <w:widowControl/>
              <w:spacing w:after="0"/>
            </w:pPr>
            <w:r>
              <w:rPr>
                <w:rFonts w:ascii="Calibri" w:hAnsi="Calibri"/>
                <w:b w:val="0"/>
                <w:color w:val="1F2937"/>
                <w:sz w:val="15"/>
              </w:rPr>
              <w:t>Criticality, inventories, providers, data flows and interdependencies.</w:t>
            </w:r>
          </w:p>
        </w:tc>
      </w:tr>
      <w:tr>
        <w:trPr>
          <w:cantSplit/>
        </w:trPr>
        <w:tc>
          <w:tcPr>
            <w:tcW w:type="dxa" w:w="792"/>
            <w:tcMar>
              <w:top w:w="80" w:type="dxa"/>
              <w:start w:w="110" w:type="dxa"/>
              <w:bottom w:w="80" w:type="dxa"/>
              <w:end w:w="110" w:type="dxa"/>
            </w:tcMar>
            <w:vAlign w:val="center"/>
          </w:tcPr>
          <w:p>
            <w:pPr>
              <w:widowControl/>
              <w:spacing w:after="0"/>
            </w:pPr>
            <w:r>
              <w:rPr>
                <w:rFonts w:ascii="Calibri" w:hAnsi="Calibri"/>
                <w:b/>
                <w:color w:val="1F4D78"/>
                <w:sz w:val="15"/>
              </w:rPr>
              <w:t>D05</w:t>
            </w:r>
          </w:p>
        </w:tc>
        <w:tc>
          <w:tcPr>
            <w:tcW w:type="dxa" w:w="3600"/>
            <w:tcMar>
              <w:top w:w="80" w:type="dxa"/>
              <w:start w:w="110" w:type="dxa"/>
              <w:bottom w:w="80" w:type="dxa"/>
              <w:end w:w="110" w:type="dxa"/>
            </w:tcMar>
            <w:vAlign w:val="center"/>
          </w:tcPr>
          <w:p>
            <w:pPr>
              <w:widowControl/>
              <w:spacing w:after="0"/>
            </w:pPr>
            <w:r>
              <w:rPr>
                <w:rFonts w:ascii="Calibri" w:hAnsi="Calibri"/>
                <w:b w:val="0"/>
                <w:color w:val="1F2937"/>
                <w:sz w:val="15"/>
              </w:rPr>
              <w:t>Continuity, response &amp; recovery</w:t>
            </w:r>
          </w:p>
        </w:tc>
        <w:tc>
          <w:tcPr>
            <w:tcW w:type="dxa" w:w="5486"/>
            <w:tcMar>
              <w:top w:w="80" w:type="dxa"/>
              <w:start w:w="110" w:type="dxa"/>
              <w:bottom w:w="80" w:type="dxa"/>
              <w:end w:w="110" w:type="dxa"/>
            </w:tcMar>
            <w:vAlign w:val="center"/>
          </w:tcPr>
          <w:p>
            <w:pPr>
              <w:widowControl/>
              <w:spacing w:after="0"/>
            </w:pPr>
            <w:r>
              <w:rPr>
                <w:rFonts w:ascii="Calibri" w:hAnsi="Calibri"/>
                <w:b w:val="0"/>
                <w:color w:val="1F2937"/>
                <w:sz w:val="15"/>
              </w:rPr>
              <w:t>BIA, RTO/RPO, scenarios, backup, restoration and return to normal.</w:t>
            </w:r>
          </w:p>
        </w:tc>
      </w:tr>
      <w:tr>
        <w:trPr>
          <w:cantSplit/>
        </w:trPr>
        <w:tc>
          <w:tcPr>
            <w:tcW w:type="dxa" w:w="792"/>
            <w:tcMar>
              <w:top w:w="80" w:type="dxa"/>
              <w:start w:w="110" w:type="dxa"/>
              <w:bottom w:w="80" w:type="dxa"/>
              <w:end w:w="110" w:type="dxa"/>
            </w:tcMar>
            <w:vAlign w:val="center"/>
            <w:shd w:fill="F8FAFC"/>
          </w:tcPr>
          <w:p>
            <w:pPr>
              <w:widowControl/>
              <w:spacing w:after="0"/>
            </w:pPr>
            <w:r>
              <w:rPr>
                <w:rFonts w:ascii="Calibri" w:hAnsi="Calibri"/>
                <w:b/>
                <w:color w:val="1F4D78"/>
                <w:sz w:val="15"/>
              </w:rPr>
              <w:t>D06</w:t>
            </w:r>
          </w:p>
        </w:tc>
        <w:tc>
          <w:tcPr>
            <w:tcW w:type="dxa" w:w="3600"/>
            <w:tcMar>
              <w:top w:w="80" w:type="dxa"/>
              <w:start w:w="110" w:type="dxa"/>
              <w:bottom w:w="80" w:type="dxa"/>
              <w:end w:w="110" w:type="dxa"/>
            </w:tcMar>
            <w:vAlign w:val="center"/>
            <w:shd w:fill="F8FAFC"/>
          </w:tcPr>
          <w:p>
            <w:pPr>
              <w:widowControl/>
              <w:spacing w:after="0"/>
            </w:pPr>
            <w:r>
              <w:rPr>
                <w:rFonts w:ascii="Calibri" w:hAnsi="Calibri"/>
                <w:b w:val="0"/>
                <w:color w:val="1F2937"/>
                <w:sz w:val="15"/>
              </w:rPr>
              <w:t>Incident management &amp; reporting</w:t>
            </w:r>
          </w:p>
        </w:tc>
        <w:tc>
          <w:tcPr>
            <w:tcW w:type="dxa" w:w="5486"/>
            <w:tcMar>
              <w:top w:w="80" w:type="dxa"/>
              <w:start w:w="110" w:type="dxa"/>
              <w:bottom w:w="80" w:type="dxa"/>
              <w:end w:w="110" w:type="dxa"/>
            </w:tcMar>
            <w:vAlign w:val="center"/>
            <w:shd w:fill="F8FAFC"/>
          </w:tcPr>
          <w:p>
            <w:pPr>
              <w:keepLines/>
              <w:widowControl/>
              <w:spacing w:after="0"/>
            </w:pPr>
            <w:r>
              <w:rPr>
                <w:rFonts w:ascii="Calibri" w:hAnsi="Calibri"/>
                <w:b w:val="0"/>
                <w:color w:val="1F2937"/>
                <w:sz w:val="15"/>
              </w:rPr>
              <w:t>Detection, escalation, DORA classification, Central Bank runbook and learning, with mandatory Annex A classification tool, mandatory Annex B reporting pack, conditional Annex C, context-only Annex D and optional Annex E.</w:t>
            </w:r>
          </w:p>
        </w:tc>
      </w:tr>
      <w:tr>
        <w:trPr>
          <w:cantSplit/>
        </w:trPr>
        <w:tc>
          <w:tcPr>
            <w:tcW w:type="dxa" w:w="792"/>
            <w:tcMar>
              <w:top w:w="80" w:type="dxa"/>
              <w:start w:w="110" w:type="dxa"/>
              <w:bottom w:w="80" w:type="dxa"/>
              <w:end w:w="110" w:type="dxa"/>
            </w:tcMar>
            <w:vAlign w:val="center"/>
          </w:tcPr>
          <w:p>
            <w:pPr>
              <w:widowControl/>
              <w:spacing w:after="0"/>
            </w:pPr>
            <w:r>
              <w:rPr>
                <w:rFonts w:ascii="Calibri" w:hAnsi="Calibri"/>
                <w:b/>
                <w:color w:val="1F4D78"/>
                <w:sz w:val="15"/>
              </w:rPr>
              <w:t>D07</w:t>
            </w:r>
          </w:p>
        </w:tc>
        <w:tc>
          <w:tcPr>
            <w:tcW w:type="dxa" w:w="3600"/>
            <w:tcMar>
              <w:top w:w="80" w:type="dxa"/>
              <w:start w:w="110" w:type="dxa"/>
              <w:bottom w:w="80" w:type="dxa"/>
              <w:end w:w="110" w:type="dxa"/>
            </w:tcMar>
            <w:vAlign w:val="center"/>
          </w:tcPr>
          <w:p>
            <w:pPr>
              <w:widowControl/>
              <w:spacing w:after="0"/>
            </w:pPr>
            <w:r>
              <w:rPr>
                <w:rFonts w:ascii="Calibri" w:hAnsi="Calibri"/>
                <w:b w:val="0"/>
                <w:color w:val="1F2937"/>
                <w:sz w:val="15"/>
              </w:rPr>
              <w:t>Incident register</w:t>
            </w:r>
          </w:p>
        </w:tc>
        <w:tc>
          <w:tcPr>
            <w:tcW w:type="dxa" w:w="5486"/>
            <w:tcMar>
              <w:top w:w="80" w:type="dxa"/>
              <w:start w:w="110" w:type="dxa"/>
              <w:bottom w:w="80" w:type="dxa"/>
              <w:end w:w="110" w:type="dxa"/>
            </w:tcMar>
            <w:vAlign w:val="center"/>
          </w:tcPr>
          <w:p>
            <w:pPr>
              <w:widowControl/>
              <w:spacing w:after="0"/>
            </w:pPr>
            <w:r>
              <w:rPr>
                <w:rFonts w:ascii="Calibri" w:hAnsi="Calibri"/>
                <w:b w:val="0"/>
                <w:color w:val="1F2937"/>
                <w:sz w:val="15"/>
              </w:rPr>
              <w:t>Operational incident, threshold, reporting and corrective-action record.</w:t>
            </w:r>
          </w:p>
        </w:tc>
      </w:tr>
      <w:tr>
        <w:trPr>
          <w:cantSplit/>
        </w:trPr>
        <w:tc>
          <w:tcPr>
            <w:tcW w:type="dxa" w:w="792"/>
            <w:tcMar>
              <w:top w:w="80" w:type="dxa"/>
              <w:start w:w="110" w:type="dxa"/>
              <w:bottom w:w="80" w:type="dxa"/>
              <w:end w:w="110" w:type="dxa"/>
            </w:tcMar>
            <w:vAlign w:val="center"/>
            <w:shd w:fill="F8FAFC"/>
          </w:tcPr>
          <w:p>
            <w:pPr>
              <w:widowControl/>
              <w:spacing w:after="0"/>
            </w:pPr>
            <w:r>
              <w:rPr>
                <w:rFonts w:ascii="Calibri" w:hAnsi="Calibri"/>
                <w:b/>
                <w:color w:val="1F4D78"/>
                <w:sz w:val="15"/>
              </w:rPr>
              <w:t>D08</w:t>
            </w:r>
          </w:p>
        </w:tc>
        <w:tc>
          <w:tcPr>
            <w:tcW w:type="dxa" w:w="3600"/>
            <w:tcMar>
              <w:top w:w="80" w:type="dxa"/>
              <w:start w:w="110" w:type="dxa"/>
              <w:bottom w:w="80" w:type="dxa"/>
              <w:end w:w="110" w:type="dxa"/>
            </w:tcMar>
            <w:vAlign w:val="center"/>
            <w:shd w:fill="F8FAFC"/>
          </w:tcPr>
          <w:p>
            <w:pPr>
              <w:widowControl/>
              <w:spacing w:after="0"/>
            </w:pPr>
            <w:r>
              <w:rPr>
                <w:rFonts w:ascii="Calibri" w:hAnsi="Calibri"/>
                <w:b w:val="0"/>
                <w:color w:val="1F2937"/>
                <w:sz w:val="15"/>
              </w:rPr>
              <w:t>Resilience testing</w:t>
            </w:r>
          </w:p>
        </w:tc>
        <w:tc>
          <w:tcPr>
            <w:tcW w:type="dxa" w:w="5486"/>
            <w:tcMar>
              <w:top w:w="80" w:type="dxa"/>
              <w:start w:w="110" w:type="dxa"/>
              <w:bottom w:w="80" w:type="dxa"/>
              <w:end w:w="110" w:type="dxa"/>
            </w:tcMar>
            <w:vAlign w:val="center"/>
            <w:shd w:fill="F8FAFC"/>
          </w:tcPr>
          <w:p>
            <w:pPr>
              <w:widowControl/>
              <w:spacing w:after="0"/>
            </w:pPr>
            <w:r>
              <w:rPr>
                <w:rFonts w:ascii="Calibri" w:hAnsi="Calibri"/>
                <w:b w:val="0"/>
                <w:color w:val="1F2937"/>
                <w:sz w:val="15"/>
              </w:rPr>
              <w:t>Annual programme, test scripts, reports, remediation and conditional TLPT activation.</w:t>
            </w:r>
          </w:p>
        </w:tc>
      </w:tr>
      <w:tr>
        <w:trPr>
          <w:cantSplit/>
        </w:trPr>
        <w:tc>
          <w:tcPr>
            <w:tcW w:type="dxa" w:w="792"/>
            <w:tcMar>
              <w:top w:w="80" w:type="dxa"/>
              <w:start w:w="110" w:type="dxa"/>
              <w:bottom w:w="80" w:type="dxa"/>
              <w:end w:w="110" w:type="dxa"/>
            </w:tcMar>
            <w:vAlign w:val="center"/>
          </w:tcPr>
          <w:p>
            <w:pPr>
              <w:widowControl/>
              <w:spacing w:after="0"/>
            </w:pPr>
            <w:r>
              <w:rPr>
                <w:rFonts w:ascii="Calibri" w:hAnsi="Calibri"/>
                <w:b/>
                <w:color w:val="1F4D78"/>
                <w:sz w:val="15"/>
              </w:rPr>
              <w:t>D09</w:t>
            </w:r>
          </w:p>
        </w:tc>
        <w:tc>
          <w:tcPr>
            <w:tcW w:type="dxa" w:w="3600"/>
            <w:tcMar>
              <w:top w:w="80" w:type="dxa"/>
              <w:start w:w="110" w:type="dxa"/>
              <w:bottom w:w="80" w:type="dxa"/>
              <w:end w:w="110" w:type="dxa"/>
            </w:tcMar>
            <w:vAlign w:val="center"/>
          </w:tcPr>
          <w:p>
            <w:pPr>
              <w:widowControl/>
              <w:spacing w:after="0"/>
            </w:pPr>
            <w:r>
              <w:rPr>
                <w:rFonts w:ascii="Calibri" w:hAnsi="Calibri"/>
                <w:b w:val="0"/>
                <w:color w:val="1F2937"/>
                <w:sz w:val="15"/>
              </w:rPr>
              <w:t>ICT third-party risk</w:t>
            </w:r>
          </w:p>
        </w:tc>
        <w:tc>
          <w:tcPr>
            <w:tcW w:type="dxa" w:w="5486"/>
            <w:tcMar>
              <w:top w:w="80" w:type="dxa"/>
              <w:start w:w="110" w:type="dxa"/>
              <w:bottom w:w="80" w:type="dxa"/>
              <w:end w:w="110" w:type="dxa"/>
            </w:tcMar>
            <w:vAlign w:val="center"/>
          </w:tcPr>
          <w:p>
            <w:pPr>
              <w:widowControl/>
              <w:spacing w:after="0"/>
            </w:pPr>
            <w:r>
              <w:rPr>
                <w:rFonts w:ascii="Calibri" w:hAnsi="Calibri"/>
                <w:b w:val="0"/>
                <w:color w:val="1F2937"/>
                <w:sz w:val="15"/>
              </w:rPr>
              <w:t>Proportionate provider lifecycle, notifications, monitoring and exit governance.</w:t>
            </w:r>
          </w:p>
        </w:tc>
      </w:tr>
      <w:tr>
        <w:trPr>
          <w:cantSplit/>
        </w:trPr>
        <w:tc>
          <w:tcPr>
            <w:tcW w:type="dxa" w:w="792"/>
            <w:tcMar>
              <w:top w:w="80" w:type="dxa"/>
              <w:start w:w="110" w:type="dxa"/>
              <w:bottom w:w="80" w:type="dxa"/>
              <w:end w:w="110" w:type="dxa"/>
            </w:tcMar>
            <w:vAlign w:val="center"/>
            <w:shd w:fill="F8FAFC"/>
          </w:tcPr>
          <w:p>
            <w:pPr>
              <w:widowControl/>
              <w:spacing w:after="0"/>
            </w:pPr>
            <w:r>
              <w:rPr>
                <w:rFonts w:ascii="Calibri" w:hAnsi="Calibri"/>
                <w:b/>
                <w:color w:val="1F4D78"/>
                <w:sz w:val="15"/>
              </w:rPr>
              <w:t>D10</w:t>
            </w:r>
          </w:p>
        </w:tc>
        <w:tc>
          <w:tcPr>
            <w:tcW w:type="dxa" w:w="3600"/>
            <w:tcMar>
              <w:top w:w="80" w:type="dxa"/>
              <w:start w:w="110" w:type="dxa"/>
              <w:bottom w:w="80" w:type="dxa"/>
              <w:end w:w="110" w:type="dxa"/>
            </w:tcMar>
            <w:vAlign w:val="center"/>
            <w:shd w:fill="F8FAFC"/>
          </w:tcPr>
          <w:p>
            <w:pPr>
              <w:widowControl/>
              <w:spacing w:after="0"/>
            </w:pPr>
            <w:r>
              <w:rPr>
                <w:rFonts w:ascii="Calibri" w:hAnsi="Calibri"/>
                <w:b w:val="0"/>
                <w:color w:val="1F2937"/>
                <w:sz w:val="15"/>
              </w:rPr>
              <w:t>Register of information</w:t>
            </w:r>
          </w:p>
        </w:tc>
        <w:tc>
          <w:tcPr>
            <w:tcW w:type="dxa" w:w="5486"/>
            <w:tcMar>
              <w:top w:w="80" w:type="dxa"/>
              <w:start w:w="110" w:type="dxa"/>
              <w:bottom w:w="80" w:type="dxa"/>
              <w:end w:w="110" w:type="dxa"/>
            </w:tcMar>
            <w:vAlign w:val="center"/>
            <w:shd w:fill="F8FAFC"/>
          </w:tcPr>
          <w:p>
            <w:pPr>
              <w:widowControl/>
              <w:spacing w:after="0"/>
            </w:pPr>
            <w:r>
              <w:rPr>
                <w:rFonts w:ascii="Calibri" w:hAnsi="Calibri"/>
                <w:b w:val="0"/>
                <w:color w:val="1F2937"/>
                <w:sz w:val="15"/>
              </w:rPr>
              <w:t>All 14 ITS templates and 98 field definitions.</w:t>
            </w:r>
          </w:p>
        </w:tc>
      </w:tr>
      <w:tr>
        <w:trPr>
          <w:cantSplit/>
        </w:trPr>
        <w:tc>
          <w:tcPr>
            <w:tcW w:type="dxa" w:w="792"/>
            <w:tcMar>
              <w:top w:w="80" w:type="dxa"/>
              <w:start w:w="110" w:type="dxa"/>
              <w:bottom w:w="80" w:type="dxa"/>
              <w:end w:w="110" w:type="dxa"/>
            </w:tcMar>
            <w:vAlign w:val="center"/>
          </w:tcPr>
          <w:p>
            <w:pPr>
              <w:widowControl/>
              <w:spacing w:after="0"/>
            </w:pPr>
            <w:r>
              <w:rPr>
                <w:rFonts w:ascii="Calibri" w:hAnsi="Calibri"/>
                <w:b/>
                <w:color w:val="1F4D78"/>
                <w:sz w:val="15"/>
              </w:rPr>
              <w:t>D11</w:t>
            </w:r>
          </w:p>
        </w:tc>
        <w:tc>
          <w:tcPr>
            <w:tcW w:type="dxa" w:w="3600"/>
            <w:tcMar>
              <w:top w:w="80" w:type="dxa"/>
              <w:start w:w="110" w:type="dxa"/>
              <w:bottom w:w="80" w:type="dxa"/>
              <w:end w:w="110" w:type="dxa"/>
            </w:tcMar>
            <w:vAlign w:val="center"/>
          </w:tcPr>
          <w:p>
            <w:pPr>
              <w:widowControl/>
              <w:spacing w:after="0"/>
            </w:pPr>
            <w:r>
              <w:rPr>
                <w:rFonts w:ascii="Calibri" w:hAnsi="Calibri"/>
                <w:b w:val="0"/>
                <w:color w:val="1F2937"/>
                <w:sz w:val="15"/>
              </w:rPr>
              <w:t>Provider compliance pack</w:t>
            </w:r>
          </w:p>
        </w:tc>
        <w:tc>
          <w:tcPr>
            <w:tcW w:type="dxa" w:w="5486"/>
            <w:tcMar>
              <w:top w:w="80" w:type="dxa"/>
              <w:start w:w="110" w:type="dxa"/>
              <w:bottom w:w="80" w:type="dxa"/>
              <w:end w:w="110" w:type="dxa"/>
            </w:tcMar>
            <w:vAlign w:val="center"/>
          </w:tcPr>
          <w:p>
            <w:pPr>
              <w:widowControl/>
              <w:spacing w:after="0"/>
            </w:pPr>
            <w:r>
              <w:rPr>
                <w:rFonts w:ascii="Calibri" w:hAnsi="Calibri"/>
                <w:b w:val="0"/>
                <w:color w:val="1F2937"/>
                <w:sz w:val="15"/>
              </w:rPr>
              <w:t>Criticality, due diligence, Article 30 matrix, concentration, subcontracting and exit.</w:t>
            </w:r>
          </w:p>
        </w:tc>
      </w:tr>
      <w:tr>
        <w:trPr>
          <w:cantSplit/>
        </w:trPr>
        <w:tc>
          <w:tcPr>
            <w:tcW w:type="dxa" w:w="792"/>
            <w:tcMar>
              <w:top w:w="80" w:type="dxa"/>
              <w:start w:w="110" w:type="dxa"/>
              <w:bottom w:w="80" w:type="dxa"/>
              <w:end w:w="110" w:type="dxa"/>
            </w:tcMar>
            <w:vAlign w:val="center"/>
            <w:shd w:fill="F8FAFC"/>
          </w:tcPr>
          <w:p>
            <w:pPr>
              <w:widowControl/>
              <w:spacing w:after="0"/>
            </w:pPr>
            <w:r>
              <w:rPr>
                <w:rFonts w:ascii="Calibri" w:hAnsi="Calibri"/>
                <w:b/>
                <w:color w:val="1F4D78"/>
                <w:sz w:val="15"/>
              </w:rPr>
              <w:t>D12</w:t>
            </w:r>
          </w:p>
        </w:tc>
        <w:tc>
          <w:tcPr>
            <w:tcW w:type="dxa" w:w="3600"/>
            <w:tcMar>
              <w:top w:w="80" w:type="dxa"/>
              <w:start w:w="110" w:type="dxa"/>
              <w:bottom w:w="80" w:type="dxa"/>
              <w:end w:w="110" w:type="dxa"/>
            </w:tcMar>
            <w:vAlign w:val="center"/>
            <w:shd w:fill="F8FAFC"/>
          </w:tcPr>
          <w:p>
            <w:pPr>
              <w:widowControl/>
              <w:spacing w:after="0"/>
            </w:pPr>
            <w:r>
              <w:rPr>
                <w:rFonts w:ascii="Calibri" w:hAnsi="Calibri"/>
                <w:b w:val="0"/>
                <w:color w:val="1F2937"/>
                <w:sz w:val="15"/>
              </w:rPr>
              <w:t>Training programme</w:t>
            </w:r>
          </w:p>
        </w:tc>
        <w:tc>
          <w:tcPr>
            <w:tcW w:type="dxa" w:w="5486"/>
            <w:tcMar>
              <w:top w:w="80" w:type="dxa"/>
              <w:start w:w="110" w:type="dxa"/>
              <w:bottom w:w="80" w:type="dxa"/>
              <w:end w:w="110" w:type="dxa"/>
            </w:tcMar>
            <w:vAlign w:val="center"/>
            <w:shd w:fill="F8FAFC"/>
          </w:tcPr>
          <w:p>
            <w:pPr>
              <w:widowControl/>
              <w:spacing w:after="0"/>
            </w:pPr>
            <w:r>
              <w:rPr>
                <w:rFonts w:ascii="Calibri" w:hAnsi="Calibri"/>
                <w:b w:val="0"/>
                <w:color w:val="1F2937"/>
                <w:sz w:val="15"/>
              </w:rPr>
              <w:t>Board, staff and role-based training, assessment and records.</w:t>
            </w:r>
          </w:p>
        </w:tc>
      </w:tr>
      <w:tr>
        <w:trPr>
          <w:cantSplit/>
        </w:trPr>
        <w:tc>
          <w:tcPr>
            <w:tcW w:type="dxa" w:w="792"/>
            <w:tcMar>
              <w:top w:w="80" w:type="dxa"/>
              <w:start w:w="110" w:type="dxa"/>
              <w:bottom w:w="80" w:type="dxa"/>
              <w:end w:w="110" w:type="dxa"/>
            </w:tcMar>
            <w:vAlign w:val="center"/>
          </w:tcPr>
          <w:p>
            <w:pPr>
              <w:widowControl/>
              <w:spacing w:after="0"/>
            </w:pPr>
            <w:r>
              <w:rPr>
                <w:rFonts w:ascii="Calibri" w:hAnsi="Calibri"/>
                <w:b/>
                <w:color w:val="1F4D78"/>
                <w:sz w:val="15"/>
              </w:rPr>
              <w:t>D13</w:t>
            </w:r>
          </w:p>
        </w:tc>
        <w:tc>
          <w:tcPr>
            <w:tcW w:type="dxa" w:w="3600"/>
            <w:tcMar>
              <w:top w:w="80" w:type="dxa"/>
              <w:start w:w="110" w:type="dxa"/>
              <w:bottom w:w="80" w:type="dxa"/>
              <w:end w:w="110" w:type="dxa"/>
            </w:tcMar>
            <w:vAlign w:val="center"/>
          </w:tcPr>
          <w:p>
            <w:pPr>
              <w:widowControl/>
              <w:spacing w:after="0"/>
            </w:pPr>
            <w:r>
              <w:rPr>
                <w:rFonts w:ascii="Calibri" w:hAnsi="Calibri"/>
                <w:b w:val="0"/>
                <w:color w:val="1F2937"/>
                <w:sz w:val="15"/>
              </w:rPr>
              <w:t>Audit &amp; framework review</w:t>
            </w:r>
          </w:p>
        </w:tc>
        <w:tc>
          <w:tcPr>
            <w:tcW w:type="dxa" w:w="5486"/>
            <w:tcMar>
              <w:top w:w="80" w:type="dxa"/>
              <w:start w:w="110" w:type="dxa"/>
              <w:bottom w:w="80" w:type="dxa"/>
              <w:end w:w="110" w:type="dxa"/>
            </w:tcMar>
            <w:vAlign w:val="center"/>
          </w:tcPr>
          <w:p>
            <w:pPr>
              <w:widowControl/>
              <w:spacing w:after="0"/>
            </w:pPr>
            <w:r>
              <w:rPr>
                <w:rFonts w:ascii="Calibri" w:hAnsi="Calibri"/>
                <w:b w:val="0"/>
                <w:color w:val="1F2937"/>
                <w:sz w:val="15"/>
              </w:rPr>
              <w:t>Risk-based assurance and searchable Article 41 review report.</w:t>
            </w:r>
          </w:p>
        </w:tc>
      </w:tr>
      <w:tr>
        <w:trPr>
          <w:cantSplit/>
        </w:trPr>
        <w:tc>
          <w:tcPr>
            <w:tcW w:type="dxa" w:w="792"/>
            <w:tcMar>
              <w:top w:w="80" w:type="dxa"/>
              <w:start w:w="110" w:type="dxa"/>
              <w:bottom w:w="80" w:type="dxa"/>
              <w:end w:w="110" w:type="dxa"/>
            </w:tcMar>
            <w:vAlign w:val="center"/>
            <w:shd w:fill="F8FAFC"/>
          </w:tcPr>
          <w:p>
            <w:pPr>
              <w:widowControl/>
              <w:spacing w:after="0"/>
            </w:pPr>
            <w:r>
              <w:rPr>
                <w:rFonts w:ascii="Calibri" w:hAnsi="Calibri"/>
                <w:b/>
                <w:color w:val="1F4D78"/>
                <w:sz w:val="15"/>
              </w:rPr>
              <w:t>D14</w:t>
            </w:r>
          </w:p>
        </w:tc>
        <w:tc>
          <w:tcPr>
            <w:tcW w:type="dxa" w:w="3600"/>
            <w:tcMar>
              <w:top w:w="80" w:type="dxa"/>
              <w:start w:w="110" w:type="dxa"/>
              <w:bottom w:w="80" w:type="dxa"/>
              <w:end w:w="110" w:type="dxa"/>
            </w:tcMar>
            <w:vAlign w:val="center"/>
            <w:shd w:fill="F8FAFC"/>
          </w:tcPr>
          <w:p>
            <w:pPr>
              <w:widowControl/>
              <w:spacing w:after="0"/>
            </w:pPr>
            <w:r>
              <w:rPr>
                <w:rFonts w:ascii="Calibri" w:hAnsi="Calibri"/>
                <w:b w:val="0"/>
                <w:color w:val="1F2937"/>
                <w:sz w:val="15"/>
              </w:rPr>
              <w:t>Control evidence register</w:t>
            </w:r>
          </w:p>
        </w:tc>
        <w:tc>
          <w:tcPr>
            <w:tcW w:type="dxa" w:w="5486"/>
            <w:tcMar>
              <w:top w:w="80" w:type="dxa"/>
              <w:start w:w="110" w:type="dxa"/>
              <w:bottom w:w="80" w:type="dxa"/>
              <w:end w:w="110" w:type="dxa"/>
            </w:tcMar>
            <w:vAlign w:val="center"/>
            <w:shd w:fill="F8FAFC"/>
          </w:tcPr>
          <w:p>
            <w:pPr>
              <w:widowControl/>
              <w:spacing w:after="0"/>
            </w:pPr>
            <w:r>
              <w:rPr>
                <w:rFonts w:ascii="Calibri" w:hAnsi="Calibri"/>
                <w:b w:val="0"/>
                <w:color w:val="1F2937"/>
                <w:sz w:val="15"/>
              </w:rPr>
              <w:t>Requirement/control-to-evidence index, currency and reviewer status.</w:t>
            </w:r>
          </w:p>
        </w:tc>
      </w:tr>
    </w:tbl>
    <w:p>
      <w:pPr>
        <w:widowControl/>
        <w:spacing w:after="0"/>
      </w:pPr>
    </w:p>
    <w:p>
      <w:pPr>
        <w:pStyle w:val="Heading1"/>
        <w:widowControl/>
      </w:pPr>
      <w:r>
        <w:t>4. Control and evidence model</w:t>
      </w:r>
    </w:p>
    <w:p>
      <w:pPr>
        <w:pStyle w:val="ListNumber"/>
        <w:widowControl/>
      </w:pPr>
      <w:r>
        <w:t>Legal requirement — exact paragraph/point and applicability conclusion.</w:t>
      </w:r>
    </w:p>
    <w:p>
      <w:pPr>
        <w:pStyle w:val="ListNumber"/>
        <w:widowControl/>
      </w:pPr>
      <w:r>
        <w:t>Control objective — the outcome that must be achieved.</w:t>
      </w:r>
    </w:p>
    <w:p>
      <w:pPr>
        <w:pStyle w:val="ListNumber"/>
        <w:widowControl/>
      </w:pPr>
      <w:r>
        <w:t>Controlled deliverable — primary and supporting D01–D14 location.</w:t>
      </w:r>
    </w:p>
    <w:p>
      <w:pPr>
        <w:pStyle w:val="ListNumber"/>
        <w:widowControl/>
      </w:pPr>
      <w:r>
        <w:t>Operational record — risk, asset, incident, provider, test or approval record.</w:t>
      </w:r>
    </w:p>
    <w:p>
      <w:pPr>
        <w:pStyle w:val="ListNumber"/>
        <w:widowControl/>
      </w:pPr>
      <w:r>
        <w:t>Evidence — current objective proof that the control operated.</w:t>
      </w:r>
    </w:p>
    <w:p>
      <w:pPr>
        <w:pStyle w:val="ListNumber"/>
        <w:widowControl/>
      </w:pPr>
      <w:r>
        <w:t>Assurance — review, test, audit or framework-review conclusion.</w:t>
      </w:r>
    </w:p>
    <w:p>
      <w:pPr>
        <w:widowControl/>
      </w:pPr>
      <w:r>
        <w:t>A document may be approved while the underlying control remains unimplemented. The suite therefore uses separate readiness concepts: legal coverage, document readiness, control implementation, evidence currency and testing/assurance.</w:t>
      </w:r>
    </w:p>
    <w:p>
      <w:pPr>
        <w:pStyle w:val="Heading1"/>
        <w:widowControl/>
      </w:pPr>
      <w:r>
        <w:t>5. Governance and approval model</w:t>
      </w:r>
    </w:p>
    <w:tbl>
      <w:tblPr>
        <w:tblStyle w:val="TableGrid"/>
        <w:tblW w:type="auto" w:w="0"/>
        <w:jc w:val="center"/>
        <w:tblLayout w:type="fixed"/>
        <w:tblLook w:firstColumn="1" w:firstRow="1" w:lastColumn="0" w:lastRow="0" w:noHBand="0" w:noVBand="1" w:val="04A0"/>
      </w:tblPr>
      <w:tblGrid>
        <w:gridCol w:w="2232"/>
        <w:gridCol w:w="7646"/>
      </w:tblGrid>
      <w:tr>
        <w:trPr>
          <w:tblHeader w:val="true"/>
        </w:trPr>
        <w:tc>
          <w:tcPr>
            <w:tcW w:type="dxa" w:w="2232"/>
            <w:shd w:fill="17365D"/>
            <w:tcMar>
              <w:top w:w="80" w:type="dxa"/>
              <w:start w:w="110" w:type="dxa"/>
              <w:bottom w:w="80" w:type="dxa"/>
              <w:end w:w="110" w:type="dxa"/>
            </w:tcMar>
            <w:vAlign w:val="center"/>
          </w:tcPr>
          <w:p>
            <w:pPr>
              <w:widowControl/>
            </w:pPr>
            <w:r>
              <w:rPr>
                <w:rFonts w:ascii="Calibri" w:hAnsi="Calibri"/>
                <w:b/>
                <w:color w:val="FFFFFF"/>
                <w:sz w:val="16"/>
              </w:rPr>
              <w:t>Approval level</w:t>
            </w:r>
          </w:p>
        </w:tc>
        <w:tc>
          <w:tcPr>
            <w:tcW w:type="dxa" w:w="7646"/>
            <w:shd w:fill="17365D"/>
            <w:tcMar>
              <w:top w:w="80" w:type="dxa"/>
              <w:start w:w="110" w:type="dxa"/>
              <w:bottom w:w="80" w:type="dxa"/>
              <w:end w:w="110" w:type="dxa"/>
            </w:tcMar>
            <w:vAlign w:val="center"/>
          </w:tcPr>
          <w:p>
            <w:pPr>
              <w:widowControl/>
            </w:pPr>
            <w:r>
              <w:rPr>
                <w:rFonts w:ascii="Calibri" w:hAnsi="Calibri"/>
                <w:b/>
                <w:color w:val="FFFFFF"/>
                <w:sz w:val="16"/>
              </w:rPr>
              <w:t>Deliverables / decisions</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6"/>
              </w:rPr>
              <w:t>Management body</w:t>
            </w:r>
          </w:p>
        </w:tc>
        <w:tc>
          <w:tcPr>
            <w:tcW w:type="dxa" w:w="7646"/>
            <w:tcMar>
              <w:top w:w="80" w:type="dxa"/>
              <w:start w:w="110" w:type="dxa"/>
              <w:bottom w:w="80" w:type="dxa"/>
              <w:end w:w="110" w:type="dxa"/>
            </w:tcMar>
            <w:vAlign w:val="center"/>
          </w:tcPr>
          <w:p>
            <w:pPr>
              <w:widowControl/>
              <w:spacing w:after="0"/>
            </w:pPr>
            <w:r>
              <w:rPr>
                <w:rFonts w:ascii="Calibri" w:hAnsi="Calibri"/>
                <w:b w:val="0"/>
                <w:color w:val="1F2937"/>
                <w:sz w:val="16"/>
              </w:rPr>
              <w:t>D01; material risk tolerance; D02/D05/D06/D08/D09 as determined by governance; high/critical risk; material exceptions; Article 41 report; material provider/exit decisions.</w:t>
            </w:r>
          </w:p>
        </w:tc>
      </w:tr>
      <w:tr>
        <w:trPr>
          <w:cantSplit/>
        </w:trPr>
        <w:tc>
          <w:tcPr>
            <w:tcW w:type="dxa" w:w="2232"/>
            <w:tcMar>
              <w:top w:w="80" w:type="dxa"/>
              <w:start w:w="110" w:type="dxa"/>
              <w:bottom w:w="80" w:type="dxa"/>
              <w:end w:w="110" w:type="dxa"/>
            </w:tcMar>
            <w:vAlign w:val="center"/>
            <w:shd w:fill="F8FAFC"/>
          </w:tcPr>
          <w:p>
            <w:pPr>
              <w:widowControl/>
              <w:spacing w:after="0"/>
            </w:pPr>
            <w:r>
              <w:rPr>
                <w:rFonts w:ascii="Calibri" w:hAnsi="Calibri"/>
                <w:b/>
                <w:color w:val="1F4D78"/>
                <w:sz w:val="16"/>
              </w:rPr>
              <w:t>Management / executive</w:t>
            </w:r>
          </w:p>
        </w:tc>
        <w:tc>
          <w:tcPr>
            <w:tcW w:type="dxa" w:w="7646"/>
            <w:tcMar>
              <w:top w:w="80" w:type="dxa"/>
              <w:start w:w="110" w:type="dxa"/>
              <w:bottom w:w="80" w:type="dxa"/>
              <w:end w:w="110" w:type="dxa"/>
            </w:tcMar>
            <w:vAlign w:val="center"/>
            <w:shd w:fill="F8FAFC"/>
          </w:tcPr>
          <w:p>
            <w:pPr>
              <w:widowControl/>
              <w:spacing w:after="0"/>
            </w:pPr>
            <w:r>
              <w:rPr>
                <w:rFonts w:ascii="Calibri" w:hAnsi="Calibri"/>
                <w:b w:val="0"/>
                <w:color w:val="1F2937"/>
                <w:sz w:val="16"/>
              </w:rPr>
              <w:t>Operational procedures, annual plans, provider onboarding within delegated tolerance, routine remediation and training programme.</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6"/>
              </w:rPr>
              <w:t>Control functions</w:t>
            </w:r>
          </w:p>
        </w:tc>
        <w:tc>
          <w:tcPr>
            <w:tcW w:type="dxa" w:w="7646"/>
            <w:tcMar>
              <w:top w:w="80" w:type="dxa"/>
              <w:start w:w="110" w:type="dxa"/>
              <w:bottom w:w="80" w:type="dxa"/>
              <w:end w:w="110" w:type="dxa"/>
            </w:tcMar>
            <w:vAlign w:val="center"/>
          </w:tcPr>
          <w:p>
            <w:pPr>
              <w:widowControl/>
              <w:spacing w:after="0"/>
            </w:pPr>
            <w:r>
              <w:rPr>
                <w:rFonts w:ascii="Calibri" w:hAnsi="Calibri"/>
                <w:b w:val="0"/>
                <w:color w:val="1F2937"/>
                <w:sz w:val="16"/>
              </w:rPr>
              <w:t>Independent challenge, monitoring, classification/report review and assurance input.</w:t>
            </w:r>
          </w:p>
        </w:tc>
      </w:tr>
      <w:tr>
        <w:trPr>
          <w:cantSplit/>
        </w:trPr>
        <w:tc>
          <w:tcPr>
            <w:tcW w:type="dxa" w:w="2232"/>
            <w:tcMar>
              <w:top w:w="80" w:type="dxa"/>
              <w:start w:w="110" w:type="dxa"/>
              <w:bottom w:w="80" w:type="dxa"/>
              <w:end w:w="110" w:type="dxa"/>
            </w:tcMar>
            <w:vAlign w:val="center"/>
            <w:shd w:fill="F8FAFC"/>
          </w:tcPr>
          <w:p>
            <w:pPr>
              <w:widowControl/>
              <w:spacing w:after="0"/>
            </w:pPr>
            <w:r>
              <w:rPr>
                <w:rFonts w:ascii="Calibri" w:hAnsi="Calibri"/>
                <w:b/>
                <w:color w:val="1F4D78"/>
                <w:sz w:val="16"/>
              </w:rPr>
              <w:t>Operational owners</w:t>
            </w:r>
          </w:p>
        </w:tc>
        <w:tc>
          <w:tcPr>
            <w:tcW w:type="dxa" w:w="7646"/>
            <w:tcMar>
              <w:top w:w="80" w:type="dxa"/>
              <w:start w:w="110" w:type="dxa"/>
              <w:bottom w:w="80" w:type="dxa"/>
              <w:end w:w="110" w:type="dxa"/>
            </w:tcMar>
            <w:vAlign w:val="center"/>
            <w:shd w:fill="F8FAFC"/>
          </w:tcPr>
          <w:p>
            <w:pPr>
              <w:widowControl/>
              <w:spacing w:after="0"/>
            </w:pPr>
            <w:r>
              <w:rPr>
                <w:rFonts w:ascii="Calibri" w:hAnsi="Calibri"/>
                <w:b w:val="0"/>
                <w:color w:val="1F2937"/>
                <w:sz w:val="16"/>
              </w:rPr>
              <w:t>Maintain inventories, controls, registers, evidence and action completion.</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6"/>
              </w:rPr>
              <w:t>Internal audit / independent assurance</w:t>
            </w:r>
          </w:p>
        </w:tc>
        <w:tc>
          <w:tcPr>
            <w:tcW w:type="dxa" w:w="7646"/>
            <w:tcMar>
              <w:top w:w="80" w:type="dxa"/>
              <w:start w:w="110" w:type="dxa"/>
              <w:bottom w:w="80" w:type="dxa"/>
              <w:end w:w="110" w:type="dxa"/>
            </w:tcMar>
            <w:vAlign w:val="center"/>
          </w:tcPr>
          <w:p>
            <w:pPr>
              <w:widowControl/>
              <w:spacing w:after="0"/>
            </w:pPr>
            <w:r>
              <w:rPr>
                <w:rFonts w:ascii="Calibri" w:hAnsi="Calibri"/>
                <w:b w:val="0"/>
                <w:color w:val="1F2937"/>
                <w:sz w:val="16"/>
              </w:rPr>
              <w:t>Risk-based audit and verified follow-up; no management substitution.</w:t>
            </w:r>
          </w:p>
        </w:tc>
      </w:tr>
    </w:tbl>
    <w:p>
      <w:pPr>
        <w:widowControl/>
        <w:spacing w:after="0"/>
      </w:pPr>
    </w:p>
    <w:p>
      <w:pPr>
        <w:pStyle w:val="Heading1"/>
        <w:widowControl/>
      </w:pPr>
      <w:r>
        <w:t>6. Dependency and implementation order</w:t>
      </w:r>
    </w:p>
    <w:tbl>
      <w:tblPr>
        <w:tblStyle w:val="TableGrid"/>
        <w:tblW w:type="auto" w:w="0"/>
        <w:jc w:val="center"/>
        <w:tblLayout w:type="fixed"/>
        <w:tblLook w:firstColumn="1" w:firstRow="1" w:lastColumn="0" w:lastRow="0" w:noHBand="0" w:noVBand="1" w:val="04A0"/>
      </w:tblPr>
      <w:tblGrid>
        <w:gridCol w:w="2592"/>
        <w:gridCol w:w="7286"/>
      </w:tblGrid>
      <w:tr>
        <w:trPr>
          <w:tblHeader w:val="true"/>
        </w:trPr>
        <w:tc>
          <w:tcPr>
            <w:tcW w:type="dxa" w:w="2592"/>
            <w:shd w:fill="17365D"/>
            <w:tcMar>
              <w:top w:w="80" w:type="dxa"/>
              <w:start w:w="110" w:type="dxa"/>
              <w:bottom w:w="80" w:type="dxa"/>
              <w:end w:w="110" w:type="dxa"/>
            </w:tcMar>
            <w:vAlign w:val="center"/>
          </w:tcPr>
          <w:p>
            <w:pPr>
              <w:widowControl/>
            </w:pPr>
            <w:r>
              <w:rPr>
                <w:rFonts w:ascii="Calibri" w:hAnsi="Calibri"/>
                <w:b/>
                <w:color w:val="FFFFFF"/>
                <w:sz w:val="16"/>
              </w:rPr>
              <w:t>Phase</w:t>
            </w:r>
          </w:p>
        </w:tc>
        <w:tc>
          <w:tcPr>
            <w:tcW w:type="dxa" w:w="7286"/>
            <w:shd w:fill="17365D"/>
            <w:tcMar>
              <w:top w:w="80" w:type="dxa"/>
              <w:start w:w="110" w:type="dxa"/>
              <w:bottom w:w="80" w:type="dxa"/>
              <w:end w:w="110" w:type="dxa"/>
            </w:tcMar>
            <w:vAlign w:val="center"/>
          </w:tcPr>
          <w:p>
            <w:pPr>
              <w:widowControl/>
            </w:pPr>
            <w:r>
              <w:rPr>
                <w:rFonts w:ascii="Calibri" w:hAnsi="Calibri"/>
                <w:b/>
                <w:color w:val="FFFFFF"/>
                <w:sz w:val="16"/>
              </w:rPr>
              <w:t>Outcome</w:t>
            </w:r>
          </w:p>
        </w:tc>
      </w:tr>
      <w:tr>
        <w:trPr>
          <w:cantSplit/>
        </w:trPr>
        <w:tc>
          <w:tcPr>
            <w:tcW w:type="dxa" w:w="2592"/>
            <w:tcMar>
              <w:top w:w="80" w:type="dxa"/>
              <w:start w:w="110" w:type="dxa"/>
              <w:bottom w:w="80" w:type="dxa"/>
              <w:end w:w="110" w:type="dxa"/>
            </w:tcMar>
            <w:vAlign w:val="center"/>
          </w:tcPr>
          <w:p>
            <w:pPr>
              <w:widowControl/>
              <w:spacing w:after="0"/>
            </w:pPr>
            <w:r>
              <w:rPr>
                <w:rFonts w:ascii="Calibri" w:hAnsi="Calibri"/>
                <w:b/>
                <w:color w:val="1F4D78"/>
                <w:sz w:val="16"/>
              </w:rPr>
              <w:t>1. Classify and scope</w:t>
            </w:r>
          </w:p>
        </w:tc>
        <w:tc>
          <w:tcPr>
            <w:tcW w:type="dxa" w:w="7286"/>
            <w:tcMar>
              <w:top w:w="80" w:type="dxa"/>
              <w:start w:w="110" w:type="dxa"/>
              <w:bottom w:w="80" w:type="dxa"/>
              <w:end w:w="110" w:type="dxa"/>
            </w:tcMar>
            <w:vAlign w:val="center"/>
          </w:tcPr>
          <w:p>
            <w:pPr>
              <w:widowControl/>
              <w:spacing w:after="0"/>
            </w:pPr>
            <w:r>
              <w:rPr>
                <w:rFonts w:ascii="Calibri" w:hAnsi="Calibri"/>
                <w:b w:val="0"/>
                <w:color w:val="1F2937"/>
                <w:sz w:val="16"/>
              </w:rPr>
              <w:t>Confirm SNI, microenterprise, services, client-assets/payments, group and TLPT position.</w:t>
            </w:r>
          </w:p>
        </w:tc>
      </w:tr>
      <w:tr>
        <w:trPr>
          <w:cantSplit/>
        </w:trPr>
        <w:tc>
          <w:tcPr>
            <w:tcW w:type="dxa" w:w="2592"/>
            <w:tcMar>
              <w:top w:w="80" w:type="dxa"/>
              <w:start w:w="110" w:type="dxa"/>
              <w:bottom w:w="80" w:type="dxa"/>
              <w:end w:w="110" w:type="dxa"/>
            </w:tcMar>
            <w:vAlign w:val="center"/>
            <w:shd w:fill="F8FAFC"/>
          </w:tcPr>
          <w:p>
            <w:pPr>
              <w:widowControl/>
              <w:spacing w:after="0"/>
            </w:pPr>
            <w:r>
              <w:rPr>
                <w:rFonts w:ascii="Calibri" w:hAnsi="Calibri"/>
                <w:b/>
                <w:color w:val="1F4D78"/>
                <w:sz w:val="16"/>
              </w:rPr>
              <w:t>2. Map reality</w:t>
            </w:r>
          </w:p>
        </w:tc>
        <w:tc>
          <w:tcPr>
            <w:tcW w:type="dxa" w:w="7286"/>
            <w:tcMar>
              <w:top w:w="80" w:type="dxa"/>
              <w:start w:w="110" w:type="dxa"/>
              <w:bottom w:w="80" w:type="dxa"/>
              <w:end w:w="110" w:type="dxa"/>
            </w:tcMar>
            <w:vAlign w:val="center"/>
            <w:shd w:fill="F8FAFC"/>
          </w:tcPr>
          <w:p>
            <w:pPr>
              <w:widowControl/>
              <w:spacing w:after="0"/>
            </w:pPr>
            <w:r>
              <w:rPr>
                <w:rFonts w:ascii="Calibri" w:hAnsi="Calibri"/>
                <w:b w:val="0"/>
                <w:color w:val="1F2937"/>
                <w:sz w:val="16"/>
              </w:rPr>
              <w:t>Populate D04 and initial D10; identify critical functions, systems, data, providers and dependencies.</w:t>
            </w:r>
          </w:p>
        </w:tc>
      </w:tr>
      <w:tr>
        <w:trPr>
          <w:cantSplit/>
        </w:trPr>
        <w:tc>
          <w:tcPr>
            <w:tcW w:type="dxa" w:w="2592"/>
            <w:tcMar>
              <w:top w:w="80" w:type="dxa"/>
              <w:start w:w="110" w:type="dxa"/>
              <w:bottom w:w="80" w:type="dxa"/>
              <w:end w:w="110" w:type="dxa"/>
            </w:tcMar>
            <w:vAlign w:val="center"/>
          </w:tcPr>
          <w:p>
            <w:pPr>
              <w:widowControl/>
              <w:spacing w:after="0"/>
            </w:pPr>
            <w:r>
              <w:rPr>
                <w:rFonts w:ascii="Calibri" w:hAnsi="Calibri"/>
                <w:b/>
                <w:color w:val="1F4D78"/>
                <w:sz w:val="16"/>
              </w:rPr>
              <w:t>3. Assess risk</w:t>
            </w:r>
          </w:p>
        </w:tc>
        <w:tc>
          <w:tcPr>
            <w:tcW w:type="dxa" w:w="7286"/>
            <w:tcMar>
              <w:top w:w="80" w:type="dxa"/>
              <w:start w:w="110" w:type="dxa"/>
              <w:bottom w:w="80" w:type="dxa"/>
              <w:end w:w="110" w:type="dxa"/>
            </w:tcMar>
            <w:vAlign w:val="center"/>
          </w:tcPr>
          <w:p>
            <w:pPr>
              <w:widowControl/>
              <w:spacing w:after="0"/>
            </w:pPr>
            <w:r>
              <w:rPr>
                <w:rFonts w:ascii="Calibri" w:hAnsi="Calibri"/>
                <w:b w:val="0"/>
                <w:color w:val="1F2937"/>
                <w:sz w:val="16"/>
              </w:rPr>
              <w:t>Populate D03; define tolerance, treatments and accepted assumptions.</w:t>
            </w:r>
          </w:p>
        </w:tc>
      </w:tr>
      <w:tr>
        <w:trPr>
          <w:cantSplit/>
        </w:trPr>
        <w:tc>
          <w:tcPr>
            <w:tcW w:type="dxa" w:w="2592"/>
            <w:tcMar>
              <w:top w:w="80" w:type="dxa"/>
              <w:start w:w="110" w:type="dxa"/>
              <w:bottom w:w="80" w:type="dxa"/>
              <w:end w:w="110" w:type="dxa"/>
            </w:tcMar>
            <w:vAlign w:val="center"/>
            <w:shd w:fill="F8FAFC"/>
          </w:tcPr>
          <w:p>
            <w:pPr>
              <w:widowControl/>
              <w:spacing w:after="0"/>
            </w:pPr>
            <w:r>
              <w:rPr>
                <w:rFonts w:ascii="Calibri" w:hAnsi="Calibri"/>
                <w:b/>
                <w:color w:val="1F4D78"/>
                <w:sz w:val="16"/>
              </w:rPr>
              <w:t>4. Establish controls</w:t>
            </w:r>
          </w:p>
        </w:tc>
        <w:tc>
          <w:tcPr>
            <w:tcW w:type="dxa" w:w="7286"/>
            <w:tcMar>
              <w:top w:w="80" w:type="dxa"/>
              <w:start w:w="110" w:type="dxa"/>
              <w:bottom w:w="80" w:type="dxa"/>
              <w:end w:w="110" w:type="dxa"/>
            </w:tcMar>
            <w:vAlign w:val="center"/>
            <w:shd w:fill="F8FAFC"/>
          </w:tcPr>
          <w:p>
            <w:pPr>
              <w:widowControl/>
              <w:spacing w:after="0"/>
            </w:pPr>
            <w:r>
              <w:rPr>
                <w:rFonts w:ascii="Calibri" w:hAnsi="Calibri"/>
                <w:b w:val="0"/>
                <w:color w:val="1F2937"/>
                <w:sz w:val="16"/>
              </w:rPr>
              <w:t>Tailor/approve D01, D02, D05, D06, D08, D09 and D12.</w:t>
            </w:r>
          </w:p>
        </w:tc>
      </w:tr>
      <w:tr>
        <w:trPr>
          <w:cantSplit/>
        </w:trPr>
        <w:tc>
          <w:tcPr>
            <w:tcW w:type="dxa" w:w="2592"/>
            <w:tcMar>
              <w:top w:w="80" w:type="dxa"/>
              <w:start w:w="110" w:type="dxa"/>
              <w:bottom w:w="80" w:type="dxa"/>
              <w:end w:w="110" w:type="dxa"/>
            </w:tcMar>
            <w:vAlign w:val="center"/>
          </w:tcPr>
          <w:p>
            <w:pPr>
              <w:widowControl/>
              <w:spacing w:after="0"/>
            </w:pPr>
            <w:r>
              <w:rPr>
                <w:rFonts w:ascii="Calibri" w:hAnsi="Calibri"/>
                <w:b/>
                <w:color w:val="1F4D78"/>
                <w:sz w:val="16"/>
              </w:rPr>
              <w:t>5. Remediate providers</w:t>
            </w:r>
          </w:p>
        </w:tc>
        <w:tc>
          <w:tcPr>
            <w:tcW w:type="dxa" w:w="7286"/>
            <w:tcMar>
              <w:top w:w="80" w:type="dxa"/>
              <w:start w:w="110" w:type="dxa"/>
              <w:bottom w:w="80" w:type="dxa"/>
              <w:end w:w="110" w:type="dxa"/>
            </w:tcMar>
            <w:vAlign w:val="center"/>
          </w:tcPr>
          <w:p>
            <w:pPr>
              <w:widowControl/>
              <w:spacing w:after="0"/>
            </w:pPr>
            <w:r>
              <w:rPr>
                <w:rFonts w:ascii="Calibri" w:hAnsi="Calibri"/>
                <w:b w:val="0"/>
                <w:color w:val="1F2937"/>
                <w:sz w:val="16"/>
              </w:rPr>
              <w:t>Complete D11 packs, Article 30 gaps, subcontracting, concentration, exit and notifications.</w:t>
            </w:r>
          </w:p>
        </w:tc>
      </w:tr>
      <w:tr>
        <w:trPr>
          <w:cantSplit/>
        </w:trPr>
        <w:tc>
          <w:tcPr>
            <w:tcW w:type="dxa" w:w="2592"/>
            <w:tcMar>
              <w:top w:w="80" w:type="dxa"/>
              <w:start w:w="110" w:type="dxa"/>
              <w:bottom w:w="80" w:type="dxa"/>
              <w:end w:w="110" w:type="dxa"/>
            </w:tcMar>
            <w:vAlign w:val="center"/>
            <w:shd w:fill="F8FAFC"/>
          </w:tcPr>
          <w:p>
            <w:pPr>
              <w:widowControl/>
              <w:spacing w:after="0"/>
            </w:pPr>
            <w:r>
              <w:rPr>
                <w:rFonts w:ascii="Calibri" w:hAnsi="Calibri"/>
                <w:b/>
                <w:color w:val="1F4D78"/>
                <w:sz w:val="16"/>
              </w:rPr>
              <w:t>6. Prove operation</w:t>
            </w:r>
          </w:p>
        </w:tc>
        <w:tc>
          <w:tcPr>
            <w:tcW w:type="dxa" w:w="7286"/>
            <w:tcMar>
              <w:top w:w="80" w:type="dxa"/>
              <w:start w:w="110" w:type="dxa"/>
              <w:bottom w:w="80" w:type="dxa"/>
              <w:end w:w="110" w:type="dxa"/>
            </w:tcMar>
            <w:vAlign w:val="center"/>
            <w:shd w:fill="F8FAFC"/>
          </w:tcPr>
          <w:p>
            <w:pPr>
              <w:widowControl/>
              <w:spacing w:after="0"/>
            </w:pPr>
            <w:r>
              <w:rPr>
                <w:rFonts w:ascii="Calibri" w:hAnsi="Calibri"/>
                <w:b w:val="0"/>
                <w:color w:val="1F2937"/>
                <w:sz w:val="16"/>
              </w:rPr>
              <w:t>Perform training, access review, restore test, tabletop, security testing and evidence capture in D14.</w:t>
            </w:r>
          </w:p>
        </w:tc>
      </w:tr>
      <w:tr>
        <w:trPr>
          <w:cantSplit/>
        </w:trPr>
        <w:tc>
          <w:tcPr>
            <w:tcW w:type="dxa" w:w="2592"/>
            <w:tcMar>
              <w:top w:w="80" w:type="dxa"/>
              <w:start w:w="110" w:type="dxa"/>
              <w:bottom w:w="80" w:type="dxa"/>
              <w:end w:w="110" w:type="dxa"/>
            </w:tcMar>
            <w:vAlign w:val="center"/>
          </w:tcPr>
          <w:p>
            <w:pPr>
              <w:widowControl/>
              <w:spacing w:after="0"/>
            </w:pPr>
            <w:r>
              <w:rPr>
                <w:rFonts w:ascii="Calibri" w:hAnsi="Calibri"/>
                <w:b/>
                <w:color w:val="1F4D78"/>
                <w:sz w:val="16"/>
              </w:rPr>
              <w:t>7. Assure and approve</w:t>
            </w:r>
          </w:p>
        </w:tc>
        <w:tc>
          <w:tcPr>
            <w:tcW w:type="dxa" w:w="7286"/>
            <w:tcMar>
              <w:top w:w="80" w:type="dxa"/>
              <w:start w:w="110" w:type="dxa"/>
              <w:bottom w:w="80" w:type="dxa"/>
              <w:end w:w="110" w:type="dxa"/>
            </w:tcMar>
            <w:vAlign w:val="center"/>
          </w:tcPr>
          <w:p>
            <w:pPr>
              <w:widowControl/>
              <w:spacing w:after="0"/>
            </w:pPr>
            <w:r>
              <w:rPr>
                <w:rFonts w:ascii="Calibri" w:hAnsi="Calibri"/>
                <w:b w:val="0"/>
                <w:color w:val="1F2937"/>
                <w:sz w:val="16"/>
              </w:rPr>
              <w:t>Complete D13 readiness review, close/accept high-risk gaps and integrate into licence materials.</w:t>
            </w:r>
          </w:p>
        </w:tc>
      </w:tr>
    </w:tbl>
    <w:p>
      <w:pPr>
        <w:widowControl/>
        <w:spacing w:after="0"/>
      </w:pPr>
    </w:p>
    <w:p>
      <w:pPr>
        <w:pStyle w:val="Heading1"/>
        <w:widowControl/>
      </w:pPr>
      <w:r>
        <w:t>7. Readiness gates</w:t>
      </w:r>
    </w:p>
    <w:tbl>
      <w:tblPr>
        <w:tblStyle w:val="TableGrid"/>
        <w:tblW w:type="auto" w:w="0"/>
        <w:jc w:val="center"/>
        <w:tblLayout w:type="fixed"/>
        <w:tblLook w:firstColumn="1" w:firstRow="1" w:lastColumn="0" w:lastRow="0" w:noHBand="0" w:noVBand="1" w:val="04A0"/>
      </w:tblPr>
      <w:tblGrid>
        <w:gridCol w:w="1944"/>
        <w:gridCol w:w="7934"/>
      </w:tblGrid>
      <w:tr>
        <w:trPr>
          <w:tblHeader w:val="true"/>
        </w:trPr>
        <w:tc>
          <w:tcPr>
            <w:tcW w:type="dxa" w:w="1944"/>
            <w:shd w:fill="17365D"/>
            <w:tcMar>
              <w:top w:w="80" w:type="dxa"/>
              <w:start w:w="110" w:type="dxa"/>
              <w:bottom w:w="80" w:type="dxa"/>
              <w:end w:w="110" w:type="dxa"/>
            </w:tcMar>
            <w:vAlign w:val="center"/>
          </w:tcPr>
          <w:p>
            <w:pPr>
              <w:widowControl/>
            </w:pPr>
            <w:r>
              <w:rPr>
                <w:rFonts w:ascii="Calibri" w:hAnsi="Calibri"/>
                <w:b/>
                <w:color w:val="FFFFFF"/>
                <w:sz w:val="16"/>
              </w:rPr>
              <w:t>Gate</w:t>
            </w:r>
          </w:p>
        </w:tc>
        <w:tc>
          <w:tcPr>
            <w:tcW w:type="dxa" w:w="7934"/>
            <w:shd w:fill="17365D"/>
            <w:tcMar>
              <w:top w:w="80" w:type="dxa"/>
              <w:start w:w="110" w:type="dxa"/>
              <w:bottom w:w="80" w:type="dxa"/>
              <w:end w:w="110" w:type="dxa"/>
            </w:tcMar>
            <w:vAlign w:val="center"/>
          </w:tcPr>
          <w:p>
            <w:pPr>
              <w:widowControl/>
            </w:pPr>
            <w:r>
              <w:rPr>
                <w:rFonts w:ascii="Calibri" w:hAnsi="Calibri"/>
                <w:b/>
                <w:color w:val="FFFFFF"/>
                <w:sz w:val="16"/>
              </w:rPr>
              <w:t>Minimum suite state</w:t>
            </w:r>
          </w:p>
        </w:tc>
      </w:tr>
      <w:tr>
        <w:trPr>
          <w:cantSplit/>
        </w:trPr>
        <w:tc>
          <w:tcPr>
            <w:tcW w:type="dxa" w:w="1944"/>
            <w:tcMar>
              <w:top w:w="80" w:type="dxa"/>
              <w:start w:w="110" w:type="dxa"/>
              <w:bottom w:w="80" w:type="dxa"/>
              <w:end w:w="110" w:type="dxa"/>
            </w:tcMar>
            <w:vAlign w:val="center"/>
          </w:tcPr>
          <w:p>
            <w:pPr>
              <w:widowControl/>
              <w:spacing w:after="0"/>
            </w:pPr>
            <w:r>
              <w:rPr>
                <w:rFonts w:ascii="Calibri" w:hAnsi="Calibri"/>
                <w:b/>
                <w:color w:val="1F4D78"/>
                <w:sz w:val="16"/>
              </w:rPr>
              <w:t>Before application</w:t>
            </w:r>
          </w:p>
        </w:tc>
        <w:tc>
          <w:tcPr>
            <w:tcW w:type="dxa" w:w="7934"/>
            <w:tcMar>
              <w:top w:w="80" w:type="dxa"/>
              <w:start w:w="110" w:type="dxa"/>
              <w:bottom w:w="80" w:type="dxa"/>
              <w:end w:w="110" w:type="dxa"/>
            </w:tcMar>
            <w:vAlign w:val="center"/>
          </w:tcPr>
          <w:p>
            <w:pPr>
              <w:widowControl/>
              <w:spacing w:after="0"/>
            </w:pPr>
            <w:r>
              <w:rPr>
                <w:rFonts w:ascii="Calibri" w:hAnsi="Calibri"/>
                <w:b w:val="0"/>
                <w:color w:val="1F2937"/>
                <w:sz w:val="16"/>
              </w:rPr>
              <w:t>Applicability fixed; D01/D02/D03/D04/D05/D06/D09/D10 materially complete; critical provider risks identified; action plan credible.</w:t>
            </w:r>
          </w:p>
        </w:tc>
      </w:tr>
      <w:tr>
        <w:trPr>
          <w:cantSplit/>
        </w:trPr>
        <w:tc>
          <w:tcPr>
            <w:tcW w:type="dxa" w:w="1944"/>
            <w:tcMar>
              <w:top w:w="80" w:type="dxa"/>
              <w:start w:w="110" w:type="dxa"/>
              <w:bottom w:w="80" w:type="dxa"/>
              <w:end w:w="110" w:type="dxa"/>
            </w:tcMar>
            <w:vAlign w:val="center"/>
            <w:shd w:fill="F8FAFC"/>
          </w:tcPr>
          <w:p>
            <w:pPr>
              <w:widowControl/>
              <w:spacing w:after="0"/>
            </w:pPr>
            <w:r>
              <w:rPr>
                <w:rFonts w:ascii="Calibri" w:hAnsi="Calibri"/>
                <w:b/>
                <w:color w:val="1F4D78"/>
                <w:sz w:val="16"/>
              </w:rPr>
              <w:t>Before authorisation</w:t>
            </w:r>
          </w:p>
        </w:tc>
        <w:tc>
          <w:tcPr>
            <w:tcW w:type="dxa" w:w="7934"/>
            <w:tcMar>
              <w:top w:w="80" w:type="dxa"/>
              <w:start w:w="110" w:type="dxa"/>
              <w:bottom w:w="80" w:type="dxa"/>
              <w:end w:w="110" w:type="dxa"/>
            </w:tcMar>
            <w:vAlign w:val="center"/>
            <w:shd w:fill="F8FAFC"/>
          </w:tcPr>
          <w:p>
            <w:pPr>
              <w:widowControl/>
              <w:spacing w:after="0"/>
            </w:pPr>
            <w:r>
              <w:rPr>
                <w:rFonts w:ascii="Calibri" w:hAnsi="Calibri"/>
                <w:b w:val="0"/>
                <w:color w:val="1F2937"/>
                <w:sz w:val="16"/>
              </w:rPr>
              <w:t>Principal documents approved; incident portal/forms ready; material contracts remediated or decided; initial training and key tests performed; evidence indexed.</w:t>
            </w:r>
          </w:p>
        </w:tc>
      </w:tr>
      <w:tr>
        <w:trPr>
          <w:cantSplit/>
        </w:trPr>
        <w:tc>
          <w:tcPr>
            <w:tcW w:type="dxa" w:w="1944"/>
            <w:tcMar>
              <w:top w:w="80" w:type="dxa"/>
              <w:start w:w="110" w:type="dxa"/>
              <w:bottom w:w="80" w:type="dxa"/>
              <w:end w:w="110" w:type="dxa"/>
            </w:tcMar>
            <w:vAlign w:val="center"/>
          </w:tcPr>
          <w:p>
            <w:pPr>
              <w:widowControl/>
              <w:spacing w:after="0"/>
            </w:pPr>
            <w:r>
              <w:rPr>
                <w:rFonts w:ascii="Calibri" w:hAnsi="Calibri"/>
                <w:b/>
                <w:color w:val="1F4D78"/>
                <w:sz w:val="16"/>
              </w:rPr>
              <w:t>Before launch</w:t>
            </w:r>
          </w:p>
        </w:tc>
        <w:tc>
          <w:tcPr>
            <w:tcW w:type="dxa" w:w="7934"/>
            <w:tcMar>
              <w:top w:w="80" w:type="dxa"/>
              <w:start w:w="110" w:type="dxa"/>
              <w:bottom w:w="80" w:type="dxa"/>
              <w:end w:w="110" w:type="dxa"/>
            </w:tcMar>
            <w:vAlign w:val="center"/>
          </w:tcPr>
          <w:p>
            <w:pPr>
              <w:widowControl/>
              <w:spacing w:after="0"/>
            </w:pPr>
            <w:r>
              <w:rPr>
                <w:rFonts w:ascii="Calibri" w:hAnsi="Calibri"/>
                <w:b w:val="0"/>
                <w:color w:val="1F2937"/>
                <w:sz w:val="16"/>
              </w:rPr>
              <w:t>Critical controls operational; access/backup/monitoring/recovery verified; owners and escalation live; unresolved high risk approved with containment.</w:t>
            </w:r>
          </w:p>
        </w:tc>
      </w:tr>
      <w:tr>
        <w:trPr>
          <w:cantSplit/>
        </w:trPr>
        <w:tc>
          <w:tcPr>
            <w:tcW w:type="dxa" w:w="1944"/>
            <w:tcMar>
              <w:top w:w="80" w:type="dxa"/>
              <w:start w:w="110" w:type="dxa"/>
              <w:bottom w:w="80" w:type="dxa"/>
              <w:end w:w="110" w:type="dxa"/>
            </w:tcMar>
            <w:vAlign w:val="center"/>
            <w:shd w:fill="F8FAFC"/>
          </w:tcPr>
          <w:p>
            <w:pPr>
              <w:widowControl/>
              <w:spacing w:after="0"/>
            </w:pPr>
            <w:r>
              <w:rPr>
                <w:rFonts w:ascii="Calibri" w:hAnsi="Calibri"/>
                <w:b/>
                <w:color w:val="1F4D78"/>
                <w:sz w:val="16"/>
              </w:rPr>
              <w:t>BAU</w:t>
            </w:r>
          </w:p>
        </w:tc>
        <w:tc>
          <w:tcPr>
            <w:tcW w:type="dxa" w:w="7934"/>
            <w:tcMar>
              <w:top w:w="80" w:type="dxa"/>
              <w:start w:w="110" w:type="dxa"/>
              <w:bottom w:w="80" w:type="dxa"/>
              <w:end w:w="110" w:type="dxa"/>
            </w:tcMar>
            <w:vAlign w:val="center"/>
            <w:shd w:fill="F8FAFC"/>
          </w:tcPr>
          <w:p>
            <w:pPr>
              <w:widowControl/>
              <w:spacing w:after="0"/>
            </w:pPr>
            <w:r>
              <w:rPr>
                <w:rFonts w:ascii="Calibri" w:hAnsi="Calibri"/>
                <w:b w:val="0"/>
                <w:color w:val="1F2937"/>
                <w:sz w:val="16"/>
              </w:rPr>
              <w:t>Registers current; incidents reported; testing/training/audit/review calendar operated; provider and legal changes monitored; evidence refreshed.</w:t>
            </w:r>
          </w:p>
        </w:tc>
      </w:tr>
    </w:tbl>
    <w:p>
      <w:pPr>
        <w:widowControl/>
        <w:spacing w:after="0"/>
      </w:pPr>
    </w:p>
    <w:p>
      <w:pPr>
        <w:pStyle w:val="Heading1"/>
        <w:widowControl/>
      </w:pPr>
      <w:r>
        <w:t>8. Responsibility split</w:t>
      </w:r>
    </w:p>
    <w:tbl>
      <w:tblPr>
        <w:tblStyle w:val="TableGrid"/>
        <w:tblW w:type="auto" w:w="0"/>
        <w:jc w:val="center"/>
        <w:tblLayout w:type="fixed"/>
        <w:tblLook w:firstColumn="1" w:firstRow="1" w:lastColumn="0" w:lastRow="0" w:noHBand="0" w:noVBand="1" w:val="04A0"/>
      </w:tblPr>
      <w:tblGrid>
        <w:gridCol w:w="2520"/>
        <w:gridCol w:w="7358"/>
      </w:tblGrid>
      <w:tr>
        <w:trPr>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6"/>
              </w:rPr>
              <w:t>Party</w:t>
            </w:r>
          </w:p>
        </w:tc>
        <w:tc>
          <w:tcPr>
            <w:tcW w:type="dxa" w:w="7358"/>
            <w:shd w:fill="17365D"/>
            <w:tcMar>
              <w:top w:w="80" w:type="dxa"/>
              <w:start w:w="110" w:type="dxa"/>
              <w:bottom w:w="80" w:type="dxa"/>
              <w:end w:w="110" w:type="dxa"/>
            </w:tcMar>
            <w:vAlign w:val="center"/>
          </w:tcPr>
          <w:p>
            <w:pPr>
              <w:widowControl/>
            </w:pPr>
            <w:r>
              <w:rPr>
                <w:rFonts w:ascii="Calibri" w:hAnsi="Calibri"/>
                <w:b/>
                <w:color w:val="FFFFFF"/>
                <w:sz w:val="16"/>
              </w:rPr>
              <w:t>Primary responsibility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6"/>
              </w:rPr>
              <w:t>Management body</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6"/>
              </w:rPr>
              <w:t>Ultimate accountability, approval, challenge, resources and risk decisions.</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6"/>
              </w:rPr>
              <w:t>Management</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6"/>
              </w:rPr>
              <w:t>Implementation, ownership, escalation and operational resilience.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6"/>
              </w:rPr>
              <w:t>Legal counsel</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6"/>
              </w:rPr>
              <w:t>Regulatory mapping, governance, contracts, licensing narrative and legal change.</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6"/>
              </w:rPr>
              <w:t>Compliance / risk</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6"/>
              </w:rPr>
              <w:t>Monitoring, challenge, reporting oversight, traceability and risk escalation.</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6"/>
              </w:rPr>
              <w:t>ICT provider / cyber adviser</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6"/>
              </w:rPr>
              <w:t>Technical architecture, configuration, monitoring, testing, recovery and evidence validation.</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6"/>
              </w:rPr>
              <w:t>Internal audit / independent reviewer</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6"/>
              </w:rPr>
              <w:t>Independent risk-based assurance and follow-up.</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6"/>
              </w:rPr>
              <w:t>Vendors</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6"/>
              </w:rPr>
              <w:t>Contracted services, controls, reporting, cooperation, audit evidence and exit support.</w:t>
            </w:r>
          </w:p>
        </w:tc>
      </w:tr>
    </w:tbl>
    <w:p>
      <w:pPr>
        <w:widowControl/>
        <w:spacing w:after="0"/>
      </w:pPr>
    </w:p>
    <w:p>
      <w:pPr>
        <w:pStyle w:val="Heading1"/>
        <w:widowControl/>
      </w:pPr>
      <w:r>
        <w:t>9. Client fact-finding and technical validation</w:t>
      </w:r>
    </w:p>
    <w:p>
      <w:pPr>
        <w:pStyle w:val="ListBullet"/>
        <w:widowControl/>
        <w:ind w:left="461"/>
      </w:pPr>
      <w:r>
        <w:t>licence permissions, client money/instruments and payment-service interfaces;</w:t>
      </w:r>
    </w:p>
    <w:p>
      <w:pPr>
        <w:pStyle w:val="ListBullet"/>
        <w:widowControl/>
        <w:ind w:left="461"/>
      </w:pPr>
      <w:r>
        <w:t>headcount, revenue/balance sheet and DORA microenterprise test;</w:t>
      </w:r>
    </w:p>
    <w:p>
      <w:pPr>
        <w:pStyle w:val="ListBullet"/>
        <w:widowControl/>
        <w:ind w:left="461"/>
      </w:pPr>
      <w:r>
        <w:t>governance, group structure, control functions and outsourcing model;</w:t>
      </w:r>
    </w:p>
    <w:p>
      <w:pPr>
        <w:pStyle w:val="ListBullet"/>
        <w:widowControl/>
        <w:ind w:left="461"/>
      </w:pPr>
      <w:r>
        <w:t>business functions, products, clients, transaction flows and criticality;</w:t>
      </w:r>
    </w:p>
    <w:p>
      <w:pPr>
        <w:pStyle w:val="ListBullet"/>
        <w:widowControl/>
        <w:ind w:left="461"/>
      </w:pPr>
      <w:r>
        <w:t>systems, devices, data, interfaces, locations and recovery architecture;</w:t>
      </w:r>
    </w:p>
    <w:p>
      <w:pPr>
        <w:pStyle w:val="ListBullet"/>
        <w:widowControl/>
        <w:ind w:left="461"/>
      </w:pPr>
      <w:r>
        <w:t>providers, contracts, subcontractors, assurance and data locations;</w:t>
      </w:r>
    </w:p>
    <w:p>
      <w:pPr>
        <w:pStyle w:val="ListBullet"/>
        <w:widowControl/>
        <w:ind w:left="461"/>
      </w:pPr>
      <w:r>
        <w:t>access administration, patching, logging, monitoring, backup and incident support;</w:t>
      </w:r>
    </w:p>
    <w:p>
      <w:pPr>
        <w:pStyle w:val="ListBullet"/>
        <w:widowControl/>
        <w:ind w:left="461"/>
      </w:pPr>
      <w:r>
        <w:t>application, authorisation and launch dates.</w:t>
      </w:r>
    </w:p>
    <w:p>
      <w:pPr>
        <w:pStyle w:val="Heading1"/>
        <w:widowControl/>
      </w:pPr>
      <w:r>
        <w:t>10. Limitations and safe use</w:t>
      </w:r>
    </w:p>
    <w:p>
      <w:pPr>
        <w:pStyle w:val="ListBullet"/>
        <w:widowControl/>
        <w:ind w:left="461"/>
      </w:pPr>
      <w:r>
        <w:t>Do not mark a control implemented because a policy states it.</w:t>
      </w:r>
    </w:p>
    <w:p>
      <w:pPr>
        <w:pStyle w:val="ListBullet"/>
        <w:widowControl/>
        <w:ind w:left="461"/>
      </w:pPr>
      <w:r>
        <w:t>Do not populate tests, incidents, audit findings, RTO/RPO or provider facts with invented results.</w:t>
      </w:r>
    </w:p>
    <w:p>
      <w:pPr>
        <w:pStyle w:val="ListBullet"/>
        <w:widowControl/>
        <w:ind w:left="461"/>
      </w:pPr>
      <w:r>
        <w:t>Do not assume SNI equals DORA microenterprise.</w:t>
      </w:r>
    </w:p>
    <w:p>
      <w:pPr>
        <w:pStyle w:val="ListBullet"/>
        <w:widowControl/>
        <w:ind w:left="461"/>
      </w:pPr>
      <w:r>
        <w:t>Do not rely on provider certificates without scope/currency/relevance review.</w:t>
      </w:r>
    </w:p>
    <w:p>
      <w:pPr>
        <w:pStyle w:val="ListBullet"/>
        <w:widowControl/>
        <w:ind w:left="461"/>
      </w:pPr>
      <w:r>
        <w:t>Do not treat an Article 30 gap as cured merely because bespoke negotiation is unavailable.</w:t>
      </w:r>
    </w:p>
    <w:p>
      <w:pPr>
        <w:pStyle w:val="ListBullet"/>
        <w:widowControl/>
        <w:ind w:left="461"/>
      </w:pPr>
      <w:r>
        <w:t>Revalidate law and Central Bank channels before client use.</w:t>
      </w:r>
    </w:p>
    <w:p>
      <w:pPr>
        <w:pStyle w:val="Heading1"/>
        <w:widowControl/>
      </w:pPr>
      <w:r>
        <w:t>Official source register</w:t>
      </w:r>
    </w:p>
    <w:tbl>
      <w:tblPr>
        <w:tblStyle w:val="TableGrid"/>
        <w:tblW w:type="auto" w:w="0"/>
        <w:jc w:val="center"/>
        <w:tblLayout w:type="fixed"/>
        <w:tblLook w:firstColumn="1" w:firstRow="1" w:lastColumn="0" w:lastRow="0" w:noHBand="0" w:noVBand="1" w:val="04A0"/>
      </w:tblPr>
      <w:tblGrid>
        <w:gridCol w:w="3528"/>
        <w:gridCol w:w="6350"/>
      </w:tblGrid>
      <w:tr>
        <w:trPr>
          <w:tblHeader w:val="true"/>
        </w:trPr>
        <w:tc>
          <w:tcPr>
            <w:tcW w:type="dxa" w:w="3528"/>
            <w:shd w:fill="17365D"/>
            <w:tcMar>
              <w:top w:w="80" w:type="dxa"/>
              <w:start w:w="110" w:type="dxa"/>
              <w:bottom w:w="80" w:type="dxa"/>
              <w:end w:w="110" w:type="dxa"/>
            </w:tcMar>
            <w:vAlign w:val="center"/>
          </w:tcPr>
          <w:p>
            <w:pPr>
              <w:widowControl/>
            </w:pPr>
            <w:r>
              <w:rPr>
                <w:rFonts w:ascii="Calibri" w:hAnsi="Calibri"/>
                <w:b/>
                <w:color w:val="FFFFFF"/>
                <w:sz w:val="15"/>
              </w:rPr>
              <w:t>Source</w:t>
            </w:r>
          </w:p>
        </w:tc>
        <w:tc>
          <w:tcPr>
            <w:tcW w:type="dxa" w:w="6350"/>
            <w:shd w:fill="17365D"/>
            <w:tcMar>
              <w:top w:w="80" w:type="dxa"/>
              <w:start w:w="110" w:type="dxa"/>
              <w:bottom w:w="80" w:type="dxa"/>
              <w:end w:w="110" w:type="dxa"/>
            </w:tcMar>
            <w:vAlign w:val="center"/>
          </w:tcPr>
          <w:p>
            <w:pPr>
              <w:widowControl/>
            </w:pPr>
            <w:r>
              <w:rPr>
                <w:rFonts w:ascii="Calibri" w:hAnsi="Calibri"/>
                <w:b/>
                <w:color w:val="FFFFFF"/>
                <w:sz w:val="15"/>
              </w:rPr>
              <w:t>Official URL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DORA</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https://eur-lex.europa.eu/eli/reg/2022/2554/oj/eng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Simplified ICT-risk RTS 2024/1774</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https://eur-lex.europa.eu/eli/reg_del/2024/1774/oj/eng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classification RTS 2024/1772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https://eur-lex.europa.eu/eli/reg_del/2024/1772/oj/eng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Incident content/timing RTS 2025/301</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https://eur-lex.europa.eu/eli/reg_del/2025/301/oj/eng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forms ITS 2025/302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https://eur-lex.europa.eu/eli/reg_impl/2025/302/oj/eng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Register ITS 2024/2956</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https://eur-lex.europa.eu/eli/reg_impl/2024/2956/oj/eng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Subcontracting RTS 2025/532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https://eur-lex.europa.eu/eli/reg_del/2025/532/oj/eng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Icelandic Act No. 78/2025</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https://www.althingi.is/lagas/nuna/2025078.html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Central Bank Rules No. 310/2026</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https://island.is/stjornartidindi/nr/87da1483-6a2a-412a-9021-30b9a817ad51</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Central Bank DORA guidance</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https://sedlabanki.is/fjarmalaeftirlit/stafraenn-vidnamsthrottur-a-fjarmalamarkadi-dora/</w:t>
            </w:r>
          </w:p>
        </w:tc>
      </w:tr>
    </w:tbl>
    <w:p>
      <w:pPr>
        <w:widowControl/>
        <w:spacing w:after="0"/>
      </w:pPr>
    </w:p>
    <w:p>
      <w:pPr>
        <w:widowControl/>
        <w:sectPr>
          <w:headerReference w:type="default" r:id="rId9"/>
          <w:footerReference w:type="default" r:id="rId10"/>
          <w:pgSz w:w="12240" w:h="15840"/>
          <w:pgMar w:top="1037" w:right="1181" w:bottom="979" w:left="1181" w:header="432" w:footer="432" w:gutter="0"/>
          <w:cols w:space="720"/>
          <w:docGrid w:linePitch="360"/>
        </w:sectPr>
      </w:pPr>
    </w:p>
    <w:p>
      <w:pPr>
        <w:pStyle w:val="Heading1"/>
      </w:pPr>
      <w:r>
        <w:t>10. D06 annex remediation release</w:t>
      </w:r>
    </w:p>
    <w:p>
      <w:r>
        <w:t>Version 1.1 establishes one controlled annex convention throughout D06. Annex A is the mandatory classification and escalation tool; Annex B is the mandatory regulatory reporting pack and submission runbook; Annex C is conditional on payment-service relevance; Annex D is context only; and Annex E is optional for Article 45 information-sharing participation.</w:t>
      </w:r>
    </w:p>
    <w:p>
      <w:r>
        <w:t>The 206-record remediation log records every former broken reference, its new primary and supporting location, evidence expectation, reason and validation result. No requirement was deleted. The 19 provisions imposing duties only on authorities are mapped primarily to this report’s Appendix A, not represented as firm-side controls.</w:t>
      </w:r>
    </w:p>
    <w:p>
      <w:pPr>
        <w:pStyle w:val="Heading1"/>
        <w:pageBreakBefore/>
        <w:widowControl/>
      </w:pPr>
      <w:r>
        <w:t>Appendix A — Master regulatory requirements and traceability schedule</w:t>
      </w:r>
    </w:p>
    <w:p>
      <w:pPr>
        <w:widowControl/>
      </w:pPr>
      <w:r>
        <w:t>The schedule contains all 612 controlled requirement records considered in the suite, including applicable, conditional, optional, SNI-carved-out and authority-only provisions. Version 1.1 resolves all 206 former D06 annex references: 187 remain mapped to substantive D06 annexes, while 19 authority-only/context records are mapped primarily to R00 Appendix A with D06 Annex D as supporting context. The accompanying workbook is the controlling sortable version and contains the unabridged fields.</w:t>
      </w:r>
    </w:p>
    <w:tbl>
      <w:tblPr>
        <w:tblStyle w:val="TableGrid"/>
        <w:tblW w:type="auto" w:w="0"/>
        <w:jc w:val="center"/>
        <w:tblLayout w:type="fixed"/>
        <w:tblLook w:firstColumn="1" w:firstRow="1" w:lastColumn="0" w:lastRow="0" w:noHBand="0" w:noVBand="1" w:val="04A0"/>
      </w:tblPr>
      <w:tblGrid>
        <w:gridCol w:w="1440"/>
        <w:gridCol w:w="1800"/>
        <w:gridCol w:w="1800"/>
        <w:gridCol w:w="3816"/>
        <w:gridCol w:w="3528"/>
        <w:gridCol w:w="2304"/>
      </w:tblGrid>
      <w:tr>
        <w:trPr>
          <w:tblHeader w:val="true"/>
        </w:trPr>
        <w:tc>
          <w:tcPr>
            <w:tcW w:type="dxa" w:w="1440"/>
            <w:shd w:fill="17365D"/>
            <w:tcMar>
              <w:top w:w="80" w:type="dxa"/>
              <w:start w:w="110" w:type="dxa"/>
              <w:bottom w:w="80" w:type="dxa"/>
              <w:end w:w="110" w:type="dxa"/>
            </w:tcMar>
            <w:vAlign w:val="center"/>
          </w:tcPr>
          <w:p>
            <w:pPr>
              <w:widowControl/>
            </w:pPr>
            <w:r>
              <w:rPr>
                <w:rFonts w:ascii="Calibri" w:hAnsi="Calibri"/>
                <w:b/>
                <w:color w:val="FFFFFF"/>
                <w:sz w:val="12"/>
              </w:rPr>
              <w:t>Requirement ID</w:t>
            </w:r>
          </w:p>
        </w:tc>
        <w:tc>
          <w:tcPr>
            <w:tcW w:type="dxa" w:w="1800"/>
            <w:shd w:fill="17365D"/>
            <w:tcMar>
              <w:top w:w="80" w:type="dxa"/>
              <w:start w:w="110" w:type="dxa"/>
              <w:bottom w:w="80" w:type="dxa"/>
              <w:end w:w="110" w:type="dxa"/>
            </w:tcMar>
            <w:vAlign w:val="center"/>
          </w:tcPr>
          <w:p>
            <w:pPr>
              <w:widowControl/>
            </w:pPr>
            <w:r>
              <w:rPr>
                <w:rFonts w:ascii="Calibri" w:hAnsi="Calibri"/>
                <w:b/>
                <w:color w:val="FFFFFF"/>
                <w:sz w:val="12"/>
              </w:rPr>
              <w:t>Legal reference</w:t>
            </w:r>
          </w:p>
        </w:tc>
        <w:tc>
          <w:tcPr>
            <w:tcW w:type="dxa" w:w="1800"/>
            <w:shd w:fill="17365D"/>
            <w:tcMar>
              <w:top w:w="80" w:type="dxa"/>
              <w:start w:w="110" w:type="dxa"/>
              <w:bottom w:w="80" w:type="dxa"/>
              <w:end w:w="110" w:type="dxa"/>
            </w:tcMar>
            <w:vAlign w:val="center"/>
          </w:tcPr>
          <w:p>
            <w:pPr>
              <w:widowControl/>
            </w:pPr>
            <w:r>
              <w:rPr>
                <w:rFonts w:ascii="Calibri" w:hAnsi="Calibri"/>
                <w:b/>
                <w:color w:val="FFFFFF"/>
                <w:sz w:val="12"/>
              </w:rPr>
              <w:t>Applicability</w:t>
            </w:r>
          </w:p>
        </w:tc>
        <w:tc>
          <w:tcPr>
            <w:tcW w:type="dxa" w:w="3816"/>
            <w:shd w:fill="17365D"/>
            <w:tcMar>
              <w:top w:w="80" w:type="dxa"/>
              <w:start w:w="110" w:type="dxa"/>
              <w:bottom w:w="80" w:type="dxa"/>
              <w:end w:w="110" w:type="dxa"/>
            </w:tcMar>
            <w:vAlign w:val="center"/>
          </w:tcPr>
          <w:p>
            <w:pPr>
              <w:widowControl/>
            </w:pPr>
            <w:r>
              <w:rPr>
                <w:rFonts w:ascii="Calibri" w:hAnsi="Calibri"/>
                <w:b/>
                <w:color w:val="FFFFFF"/>
                <w:sz w:val="12"/>
              </w:rPr>
              <w:t>Requirement</w:t>
            </w:r>
          </w:p>
        </w:tc>
        <w:tc>
          <w:tcPr>
            <w:tcW w:type="dxa" w:w="3528"/>
            <w:shd w:fill="17365D"/>
            <w:tcMar>
              <w:top w:w="80" w:type="dxa"/>
              <w:start w:w="110" w:type="dxa"/>
              <w:bottom w:w="80" w:type="dxa"/>
              <w:end w:w="110" w:type="dxa"/>
            </w:tcMar>
            <w:vAlign w:val="center"/>
          </w:tcPr>
          <w:p>
            <w:pPr>
              <w:widowControl/>
            </w:pPr>
            <w:r>
              <w:rPr>
                <w:rFonts w:ascii="Calibri" w:hAnsi="Calibri"/>
                <w:b/>
                <w:color w:val="FFFFFF"/>
                <w:sz w:val="12"/>
              </w:rPr>
              <w:t>Primary deliverable / exact location</w:t>
            </w:r>
          </w:p>
        </w:tc>
        <w:tc>
          <w:tcPr>
            <w:tcW w:type="dxa" w:w="2304"/>
            <w:shd w:fill="17365D"/>
            <w:tcMar>
              <w:top w:w="80" w:type="dxa"/>
              <w:start w:w="110" w:type="dxa"/>
              <w:bottom w:w="80" w:type="dxa"/>
              <w:end w:w="110" w:type="dxa"/>
            </w:tcMar>
            <w:vAlign w:val="center"/>
          </w:tcPr>
          <w:p>
            <w:pPr>
              <w:widowControl/>
            </w:pPr>
            <w:r>
              <w:rPr>
                <w:rFonts w:ascii="Calibri" w:hAnsi="Calibri"/>
                <w:b/>
                <w:color w:val="FFFFFF"/>
                <w:sz w:val="12"/>
              </w:rPr>
              <w:t>Required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IS-CBI-ADV</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CBI_GUIDE Advance notification</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authority expects advance notification of planned ICT arrangements supporting critical or important functions, when a function becomes critical or important, and relevant chang</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 7 — Regulatory notifications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Notification decision, form and submission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IS-CBI-INC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CBI_GUIDE Major incident reporting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Major ICT-related incidents must be reported through the Financial Supervisory Authority electronic portal using the current templates; significant cyber threats may be notified vo</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 Central Bank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access test, reporting contacts and submission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IS-CBI-ROI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CBI_GUIDE Register of information</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The authority may request the complete register covering all ICT contractual arrangements; it is submitted through the supervisory reporting system and should follow the 2024/2956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Instructions and all prescribed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Validated register and submission readiness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DORA-A16-P1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16(1)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Articles 5 to 15 of this Regulation shall not apply to small and non-interconnected investment firms, payment institutions exempted pursuant to Directive (EU) 2015/2366; institutio</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Sections 4–8 — Simplified ICT risk management framework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DORA-A16-P1-2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16(1)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Without prejudice to the first subparagraph, the entities listed in the first subparagraph shall:</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Sections 4–8 — Simplified ICT risk management framework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DORA-A16-P1-A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16(1)(a)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put in place and maintain a sound and documented ICT risk management framework that details the mechanisms and measures aimed at a quick, efficient and comprehensive management of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Sections 4–8 — Simplified ICT risk management framework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DORA-A16-P1-B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16(1)(b)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continuously monitor the security and functioning of all ICT systems;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8–12 — Operations, monitoring and system security</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DORA-A16-P1-C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16(1)(c)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minimise the impact of ICT risk through the use of sound, resilient and updated ICT systems, protocols and tools which are appropriate to support the performance of their activitie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8–12 — Operations, monitoring and system security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DORA-A16-P1-D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16(1)(d)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allow sources of ICT risk and anomalies in the network and information systems to be promptly identified and detected and ICT-related incidents to be swiftly handled;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8–12 — Operations, monitoring and system security</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DORA-A16-P1-E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16(1)(e)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identify key dependencies on ICT third-party service providers;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D04 — Providers and Dependencies worksheets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DORA-A16-P1-F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16(1)(f)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ensure the continuity of critical or important functions, through business continuity plans and response and recovery measures, which include, at least, back-up and restoration mea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D05 — Sections 4–10 — Continuity, response and recovery</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DORA-A16-P1-G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16(1)(g)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test, on a regular basis, the plans and measures referred to in point (f), as well as the effectiveness of the controls implemented in accordance with points (a) and (c);</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Sections 3–8 — Risk-based testing programme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DORA-A16-P1-H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16(1)(h)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implement, as appropriate, relevant operational conclusions resulting from the tests referred to in point (g) and from post-incident analysis into the ICT risk assessment process 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D12 — Sections 3–7 — Training and lessons learned</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DORA-A16-P2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16(2)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ICT risk management framework referred to in paragraph 1, second subparagraph, point (a), shall be documented and reviewed periodically and upon the occurrence of major ICT-rel</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D13 — Part B — Simplified framework review report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DORA-A16-P3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16(3)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ESAs shall, through the Joint Committee, in consultation with the ENISA, develop common draft regulatory technical standards in order to:</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2 — Legal and regulatory basis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DORA-A16-P3-13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16(3)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When developing those draft regulatory technical standards, the ESAs shall take into account the size and the overall risk profile of the financial entity, and the nature, scale an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2 — Legal and regulatory basis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DORA-A16-P3-14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16(3)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ESAs shall submit those draft regulatory technical standards to the Commission by 17 January 2024.</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2 — Legal and regulatory basis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DORA-A16-P3-15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16(3)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Power is delegated to the Commission to supplement this Regulation by adopting the regulatory technical standards referred to in the first subparagraph in accordance with Articles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2 — Legal and regulatory basis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DORA-A16-P3-A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16(3)(a)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specify further the elements to be included in the ICT risk management framework referred to in paragraph 1, second subparagraph, point (a);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2 — Legal and regulatory basis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DORA-A16-P3-B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16(3)(b)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specify further the elements in relation to systems, protocols and tools to minimise the impact of ICT risk referred to in paragraph 1, second subparagraph, point (c), with a view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8–12 — Operations, monitoring and system security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DORA-A16-P3-C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16(3)(c)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specify further the components of the ICT business continuity plans referred to in paragraph 1, second subparagraph, point (f);</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8–12 — Operations, monitoring and system security</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DORA-A16-P3-D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16(3)(d)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specify further the rules on the testing of business continuity plans and ensure the effectiveness of the controls referred to in paragraph 1, second subparagraph, point (g) and en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8–12 — Operations, monitoring and system security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DORA-A16-P3-E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16(3)(e)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specify further the content and format of the report on the review of the ICT risk management framework referred to in paragraph 2.</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D04 — Providers and Dependencies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DORA-A17-P1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17(1)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define, establish and implement an ICT-related incident management process to detect, manage and notify ICT-related incidents.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4–5 — Incident process, roles and escalation</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Incident records, escalation evidence and post-incident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DORA-A17-P2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17(2)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record all ICT-related incidents and significant cyber threats. Financial entities shall establish appropriate procedures and processes to ensure a consist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4–5 — Incident process, roles and escalation</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Incident records, escalation evidence and post-incident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DORA-A17-P3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17(3)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ICT-related incident management process referred to in paragraph 1 shall:</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4–5 — Incident process, roles and escalation</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Incident records, escalation evidence and post-incident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DORA-A17-P3-A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17(3)(a)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put in place early warning indicators;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4–5 — Incident process, roles and escalation</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Incident records, escalation evidence and post-incident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DORA-A17-P3-B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17(3)(b)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establish procedures to identify, track, log, categorise and classify ICT-related incidents according to their priority and severity and according to the criticality of the service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4–5 — Incident process, roles and escalation</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Incident records, escalation evidence and post-incident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DORA-A17-P3-C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17(3)(c)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assign roles and responsibilities that need to be activated for different ICT-related incident types and scenarios;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4–5 — Incident process, roles and escalation</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Incident records, escalation evidence and post-incident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DORA-A17-P3-D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17(3)(d)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set out plans for communication to staff, external stakeholders and media in accordance with Article 14 and for notification to clients, for internal escalation procedures, includi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4–5 — Incident process, roles and escalation</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Incident records, escalation evidence and post-incident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DORA-A17-P3-E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17(3)(e)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ensure that at least major ICT-related incidents are reported to relevant senior management and inform the management body of at least major ICT-related incidents, explaining the 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4–5 — Incident process, roles and escalation</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Incident records, escalation evidence and post-incident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DORA-A17-P3-F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17(3)(f)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establish ICT-related incident response procedures to mitigate impacts and ensure that services become operational and secure in a timely manner.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4–5 — Incident process, roles and escalation</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Incident records, escalation evidence and post-incident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DORA-A18-P1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18(1)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classify ICT-related incidents and shall determine their impact based on the following criteria: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DORA-A18-P1-A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18(1)(a)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number and/or relevance of clients or financial counterparts affected and, where applicable, the amount or number of transactions affected by the ICT-related incident, and whet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DORA-A18-P1-B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18(1)(b)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duration of the ICT-related incident, including the service downtime;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DORA-A18-P1-C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18(1)(c)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geographical spread with regard to the areas affected by the ICT-related incident, particularly if it affects more than two Member States;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DORA-A18-P1-D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18(1)(d)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data losses that the ICT-related incident entails, in relation to availability, authenticity, integrity or confidentiality of data;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DORA-A18-P1-E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18(1)(e)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criticality of the services affected, including the financial entity’s transactions and operations;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DORA-A18-P1-F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18(1)(f)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economic impact, in particular direct and indirect costs and losses, of the ICT-related incident in both absolute and relative terms.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18(2)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classify cyber threats as significant based on the criticality of the services at risk, including the financial entity’s transactions and operations, numbe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DORA-A18-P3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18(3)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ESAs shall, through the Joint Committee and in consultation with the ECB and ENISA, develop common draft regulatory technical standards further specifying the following:</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DORA-A18-P3-A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18(3)(a)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criteria set out in paragraph 1, including materiality thresholds for determining major ICT-related incidents or, as applicable, major operational or security payment-related 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DORA-A18-P3-B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18(3)(b)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criteria to be applied by competent authorities for the purpose of assessing the relevance of major ICT-related incidents or, as applicable, major operational or security payme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DORA-A18-P3-C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18(3)(c)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criteria set out in paragraph 2 of this Article, including high materiality thresholds for determining significant cyber threats.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DORA-A18-P4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18(4)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When developing the common draft regulatory technical standards referred to in paragraph 3 of this Article, the ESAs shall take into account the criteria set out in Article 4(2), 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DORA-A18-P4-14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18(4)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ESAs shall submit those common draft regulatory technical standards to the Commission by 17 January 2024.</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DORA-A18-P4-15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18(4)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Power is delegated to the Commission to supplement this Regulation by adopting the regulatory technical standards referred to in paragraph 3 in accordance with Articles 10 to 14 of</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report major ICT-related incidents to the relevant competent authority as referred to in Article 46 in accordance with paragraph 4 of this Article.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 financial entity is subject to supervision by more than one national competent authority referred to in Article 46, Member States shall designate a single competent authori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DORA-A19-P1-3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Credit institutions classified as significant, in accordance with Article 6(4) of Regulation (EU) No 1024/2013, shall report major ICT-related incidents to the relevant national co</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DORA-A19-P1-4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For the purpose of the first subparagraph, financial entities shall produce, after collecting and analysing all relevant information, the initial notification and reports referred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DORA-A19-P1-5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initial notification and reports referred to in paragraph 4 shall include all information necessary for the competent authority to determine the significance of the major ICT-r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DORA-A19-P1-6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Without prejudice to the reporting pursuant to the first subparagraph by the financial entity to the relevant competent authority, Member States may additionally determine that som</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may, on a voluntary basis, notify significant cyber threats to the relevant competent authority when they deem the threat to be of relevance to the financial sys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DORA-A19-P2-8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Credit institutions classified as significant, in accordance with Article 6(4) of Regulation (EU) No 1024/2013, may, on a voluntary basis, notify significant cyber threats to relev</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DORA-A19-P2-9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Member States may determine that those financial entities that on a voluntary basis notify in accordance with the first subparagraph may also transmit that notification to the CSIR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 major ICT-related incident occurs and has an impact on the financial interests of clients, financial entities shall, without undue delay as soon as they become aware of it,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DORA-A19-P3-11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 the case of a significant cyber threat, financial entities shall, where applicable, inform their clients that are potentially affected of any appropriate protection measures whi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within the time limits to be laid down in accordance with Article 20, first paragraph, point (a), point (ii), submit the following to the relevant compete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an initial notification;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an intermediate report after the initial notification referred to in point (a), as soon as the status of the original incident has changed significantly or the handling of the majo</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final report, when the root cause analysis has been completed, regardless of whether mitigation measures have already been implemented, and when the actual impact figures are ava</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may outsource, in accordance with Union and national sectoral law, the reporting obligations under this Article to a third-party service provider. In case of suc</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Upon receipt of the initial notification and of each report referred to in paragraph 4, the competent authority shall, in a timely manner, provide details of the major ICT-related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DORA-A19-P6-A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19(6)(a)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EBA, ESMA or EIOPA;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DORA-A19-P6-B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19(6)(b)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ECB, in the case of financial entities referred to in Article 2(1), points (a), (b) and (d);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DORA-A19-P6-C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19(6)(c)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competent authorities, single points of contact or CSIRTs designated or established in accordance with Directive (EU) 2022/2555;</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DORA-A19-P6-D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19(6)(d)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resolution authorities, as referred to in Article 3 of Directive 2014/59/EU, and the Single Resolution Board (SRB) with respect to entities referred to in Article 7(2) of Regul</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DORA-A19-P6-E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19(6)(e)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other relevant public authorities under national law.</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DORA-A19-P7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19(7)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Following receipt of information in accordance with paragraph 6, EBA, ESMA or EIOPA and the ECB, in consultation with ENISA and in cooperation with the relevant competent authority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DORA-A19-P8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19(8)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notification to be done by ESMA pursuant to paragraph 7 of this Article shall be without prejudice to the responsibility of the competent authority to urgently transmit the det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7–9 — Regulatory and client reporting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Portal submission, report forms and reporting decision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DORA-A20-Part_20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20(art_20)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ESAs, through the Joint Committee, and in consultation with ENISA and the ECB, shall develop:</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DORA-A20-Part_20-2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20(art_20)</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The ESAs shall submit the common draft regulatory technical standards referred to in the first paragraph, point (a), and the common draft implementing technical standards referred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DORA-A20-Part_20-3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20(art_20)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Power is delegated to the Commission to supplement this Regulation by adopting the common regulatory technical standards referred to in the first paragraph, point (a), in accordanc</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DORA-A20-Part_20-4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20(art_20)</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Power is conferred on the Commission to adopt the common implementing technical standards referred to in the first paragraph, point (b), in accordance with Article 15 of Regulation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DORA-A20-Part_20-A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20(art_20)(a)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common draft regulatory technical standards in order to: (i) establish the content of the reports for major ICT-related incidents in order to reflect the criteria laid down in Arti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DORA-A20-Part_20-B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20(art_20)(b)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common draft implementing technical standards in order to establish the standard forms, templates and procedures for financial entities to report a major ICT-related incident and 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DORA-A21-P1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21(1)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ESAs, through the Joint Committee, and in consultation with the ECB and ENISA, shall prepare a joint report assessing the feasibility of further centralisation of incident repo</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DORA-A21-P2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joint report referred to in paragraph 1 shall comprise at least the following elements: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DORA-A21-P2-A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21(2)(a)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prerequisites for the establishment of a single EU Hub;</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DORA-A21-P2-B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21(2)(b)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benefits, limitations and risks, including risks associated with the high concentration of sensitive information;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DORA-A21-P2-C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21(2)(c)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necessary capability to ensure interoperability with regard to other relevant reporting schemes;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DORA-A21-P2-D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21(2)(d)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elements of operational management;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DORA-A21-P2-E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21(2)(e)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conditions of membership;</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DORA-A21-P2-F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21(2)(f)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technical arrangements for financial entities and national competent authorities to access the single EU Hub;</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DORA-A21-P2-G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21(2)(g)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preliminary assessment of financial costs incurred by setting-up the operational platform supporting the single EU Hub, including the requisite expertise.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DORA-A21-P3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21(3)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ESAs shall submit the report referred to in paragraph 1 to the European Parliament, to the Council and to the Commission by 17 January 2025.</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DORA-A22-P1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22(1)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Without prejudice to the technical input, advice or remedies and subsequent follow-up which may be provided, where applicable, in accordance with national law, by the CSIRTs under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DORA-A22-P2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22(2)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ESAs shall, through the Joint Committee, on an anonymised and aggregated basis, report yearly on major ICT-related incidents, the details of which shall be provided by competen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DORA-A22-P2-3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22(2)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 direct entity obligation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ESAs shall issue warnings and produce high-level statistics to support ICT threat and vulnerability assessments.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R00 — Appendix A — Authority-only and regulatory-context schedule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No standalone entity evidence required; retain legal-source and applicability rationale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DORA-A23-Part_23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23(art_23)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requirements laid down in this Chapter shall also apply to operational or security payment-related incidents and to major operational or security payment-related incidents, whe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Annex C — Conditional Payment-Service Incident Interface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Payment-service applicability decision and, if relevant, sectoral reporting interface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DORA-A24-P1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24(1)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For the purpose of assessing preparedness for handling ICT-related incidents, of identifying weaknesses, deficiencies and gaps in digital operational resilience, and of promptly im</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Sections 3–8 and Test Catalogue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test plan, scripts, results, remediation and retest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DORA-A24-P2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24(2)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digital operational resilience testing programme shall include a range of assessments, tests, methodologies, practices and tools to be applied in accordance with Articles 25 an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Sections 3–8 and Test Catalogue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test plan, scripts, results, remediation and retest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DORA-A24-P3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24(3)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When conducting the digital operational resilience testing programme referred to in paragraph 1 of this Article, financial entities, other than microenterprises, shall follow a ris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Sections 3–8 and Test Catalogue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test plan, scripts, results, remediation and retest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DORA-A24-P4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24(4)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other than microenterprises, shall ensure that tests are undertaken by independent parties, whether internal or external. Where tests are undertaken by an inter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Sections 3–8 and Test Catalogue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test plan, scripts, results, remediation and retest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DORA-A24-P5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24(5)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other than microenterprises, shall establish procedures and policies to prioritise, classify and remedy all issues revealed throughout the performance of the te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Sections 3–8 and Test Catalogue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test plan, scripts, results, remediation and retest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DORA-A24-P6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24(6)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other than microenterprises, shall ensure, at least yearly, that appropriate tests are conducted on all ICT systems and applications supporting critical or impo</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Sections 3–8 and Test Catalogue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test plan, scripts, results, remediation and retest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DORA-A25-P1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25(1)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digital operational resilience testing programme referred to in Article 24 shall provide, in accordance with the criteria set out in Article 4(2), for the execution of appropri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Sections 3–8 and Test Catalogue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test plan, scripts, results, remediation and retest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DORA-A25-P2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25(2)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Central securities depositories and central counterparties shall perform vulnerability assessments before any deployment or redeployment of new or existing applications and infrast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Sections 3–8 and Test Catalogue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test plan, scripts, results, remediation and retest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DORA-A25-P3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25(3)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Microenterprises shall perform the tests referred to in paragraph 1 by combining a risk-based approach with a strategic planning of ICT testing, by duly considering the need to mai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Sections 3–8 and Test Catalogue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test plan, scripts, results, remediation and retest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other than entities referred to in Article 16(1), first subparagraph, and other than microenterprises, which are identified in accordance with paragraph 8, thir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 the absence of a designation in accordance with paragraph 9 of this Article, and without prejudice to the power to identify the financial entities that are required to perform 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ESAs shall, in agreement with the ECB, develop joint draft regulatory technical standards in accordance with the TIBER-EU framework in order to specify further: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DORA-A26-P11-22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26(11)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When developing those draft regulatory technical standards, the ESAs shall give due consideration to any specific feature arising from the distinct nature of activities across diff</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DORA-A26-P11-23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ESAs shall submit those draft regulatory technical standards to the Commission by 17 July 2024.</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DORA-A26-P11-24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26(11)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Power is delegated to the Commission to supplement this Regulation by adopting the regulatory technical standards referred to in the first subparagraph in accordance with Articles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DORA-A26-P11-A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26(11)(a)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criteria used for the purpose of the application of paragraph 8, second subparagraph;</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DORA-A26-P11-B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26(11)(b)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requirements and standards governing the use of internal testers;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DORA-A26-P11-C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26(11)(c)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requirements in relation to: (i) the scope of TLPT referred to in paragraph 2; (ii) the testing methodology and approach to be followed for each specific phase of the testing p</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DORA-A26-P11-D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26(11)(d)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type of supervisory and other relevant cooperation which are needed for the implementation of TLPT, and for the facilitation of mutual recognition of that testing, in the conte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Each threat-led penetration test shall cover several or all critical or important functions of a financial entity, and shall be performed on live production systems supporting such</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identify all relevant underlying ICT systems, processes and technologies supporting critical or important functions and ICT services, including those suppo</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DORA-A26-P2-4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assess which critical or important functions need to be covered by the TLPT. The result of this assessment shall determine the precise scope of TLPT and sh</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ICT third-party service providers are included in the scope of TLPT, the financial entity shall take the necessary measures and safeguards to ensure the participation of such</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Without prejudice to paragraph 2, first and second subparagraphs, where the participation of an ICT third-party service provider in the TLPT, referred to in paragraph 3, is reasona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DORA-A26-P4-7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That pooled testing shall cover the relevant range of ICT services supporting critical or important functions contracted to the respective ICT third-party service provider by the f</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DORA-A26-P4-8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number of financial entities participating in the pooled testing shall be duly calibrated taking into account the complexity and types of services involved.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with the cooperation of ICT third-party service providers and other parties involved, including the testers but excluding the competent authorities, apply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At the end of the testing, after reports and remediation plans have been agreed, the financial entity and, where applicable, the external testers shall provide to the authority, de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Authorities shall provide financial entities with an attestation confirming that the test was performed in accordance with the requirements as evidenced in the documentation in ord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DORA-A26-P7-12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Without prejudice to such attestation, financial entities shall remain at all times fully responsible for the impact of the tests referred to in paragraph 4.</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contract testers for the purposes of undertaking TLPT in accordance with Article 27. When financial entities use internal testers for the purposes of under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DORA-A26-P8-14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Credit institutions that are classified as significant in accordance with Article 6(4) of Regulation (EU) No 1024/2013, shall only use external testers in accordance with Article 2</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DORA-A26-P8-15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Competent authorities shall identify financial entities that are required to perform TLPT taking into account the criteria set out in Article 4(2), based on an assessment of the fo</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DORA-A26-P8-A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26(8)(a)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impact-related factors, in particular the extent to which the services provided and activities undertaken by the financial entity impact the financial sector;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DORA-A26-P8-B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26(8)(b)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possible financial stability concerns, including the systemic character of the financial entity at Union or national level, as applicable;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DORA-A26-P8-C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26(8)(c)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specific ICT risk profile, level of ICT maturity of the financial entity or technology features involved.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DORA-A26-P9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26(9)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Member States may designate a single public authority in the financial sector to be responsible for TLPT-related matters in the financial sector at national level and shall entrust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DORA-A27-P1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27(1)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only use testers for the carrying out of TLPT, that: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DORA-A27-P1-A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27(1)(a)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are of the highest suitability and reputability;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DORA-A27-P1-B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27(1)(b)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possess technical and organisational capabilities and demonstrate specific expertise in threat intelligence, penetration testing and red team testing;</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DORA-A27-P1-C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27(1)(c)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are certified by an accreditation body in a Member State or adhere to formal codes of conduct or ethical frameworks;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DORA-A27-P1-D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27(1)(d)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provide an independent assurance, or an audit report, in relation to the sound management of risks associated with the carrying out of TLPT, including the due protection of the fin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DORA-A27-P1-E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27(1)(e)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are duly and fully covered by relevant professional indemnity insurances, including against risks of misconduct and negligence.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DORA-A27-P2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27(2)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When using internal testers, financial entities shall ensure that, in addition to the requirements in paragraph 1, the following conditions are met: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DORA-A27-P2-A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27(2)(a)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such use has been approved by the relevant competent authority or by the single public authority designated in accordance with Article 26(9) and (10);</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DORA-A27-P2-B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27(2)(b)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the relevant competent authority has verified that the financial entity has sufficient dedicated resources and ensured that conflicts of interest are avoided throughout the design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DORA-A27-P2-C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27(2)(c)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threat intelligence provider is external to the financial entity.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DORA-A27-P3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27(3)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ensure that contracts concluded with external testers require a sound management of the TLPT results and that any data processing thereof, including any ge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record or documented non-designation monitoring</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manage ICT third-party risk as an integral component of ICT risk within their ICT risk management framework as referred to in Article 6(1), and in accordan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that have in place contractual arrangements for the use of ICT services to run their business operations shall, at all times, remain fully responsible for compli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management of ICT third-party risk shall be implemented in light of the principle of proportionality, taking into account: (i) the nature, scale, complexity and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DORA-A28-P10</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28(10)</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ESAs shall, through the Joint Committee, develop draft regulatory technical standards to further specify the detailed content of the policy referred to in paragraph 2 in relati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2 — Legal and regulatory basis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DORA-A28-P10-35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When developing those draft regulatory technical standards, the ESAs shall take into account the size and the overall risk profile of the financial entity, and the nature, scale an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2 — Legal and regulatory basis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DORA-A28-P10-36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28(10)</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Power is delegated to the Commission to supplement this Regulation by adopting the regulatory technical standards referred to in the first subparagraph in accordance with Articles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2 — Legal and regulatory basis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As part of their ICT risk management framework, financial entities, other than entities referred to in Article 16(1), first subparagraph, and other than microenterprises, shall ado</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 2 — Proportionate internal procedure (voluntary architecture)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As part of their ICT risk management framework, financial entities shall maintain and update at entity level, and at sub-consolidated and consolidated levels, a register of informa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All prescribed ITS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and validated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DORA-A28-P3-6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contractual arrangements referred to in the first subparagraph shall be appropriately documented, distinguishing between those that cover ICT services supporting critical or im</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All prescribed ITS worksheets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and validated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DORA-A28-P3-7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report at least yearly to the competent authorities on the number of new arrangements on the use of ICT services, the categories of ICT third-party service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All prescribed ITS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and validated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DORA-A28-P3-8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Financial entities shall make available to the competent authority, upon its request, the full register of information or, as requested, specified sections thereof, along with any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All prescribed ITS worksheets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and validated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DORA-A28-P3-9</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inform the competent authority in a timely manner about any planned contractual arrangement on the use of ICT services supporting critical or important fun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All prescribed ITS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and validated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Before entering into a contractual arrangement on the use of ICT services, financial entities shall:</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DORA-A28-P4-A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28(4)(a)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assess whether the contractual arrangement covers the use of ICT services supporting a critical or important function;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DORA-A28-P4-B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28(4)(b)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assess if supervisory conditions for contracting are met;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DORA-A28-P4-C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28(4)(c)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identify and assess all relevant risks in relation to the contractual arrangement, including the possibility that such contractual arrangement may contribute to reinforcing ICT con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DORA-A28-P4-D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28(4)(d)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undertake all due diligence on prospective ICT third-party service providers and ensure throughout the selection and assessment processes that the ICT third-party service provider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DORA-A28-P4-E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28(4)(e)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identify and assess conflicts of interest that the contractual arrangement may cause.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may only enter into contractual arrangements with ICT third-party service providers that comply with appropriate information security standards. When those contr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 exercising access, inspection and audit rights over the ICT third-party service provider, financial entities shall, on the basis of a risk-based approach, pre-determine the freq</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DORA-A28-P6-18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Where contractual arrangements concluded with ICT third-party service providers on the use of ICT services entail high technical complexity, the financial entity shall verify that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ensure that contractual arrangements on the use of ICT services may be terminated in any of the following circumstances: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DORA-A28-P7-A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28(7)(a)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significant breach by the ICT third-party service provider of applicable laws, regulations or contractual terms;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DORA-A28-P7-B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28(7)(b)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circumstances identified throughout the monitoring of ICT third-party risk that are deemed capable of altering the performance of the functions provided through the contractual arr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DORA-A28-P7-C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28(7)(c)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ICT third-party service provider’s evidenced weaknesses pertaining to its overall ICT risk management and in particular in the way it ensures the availability, authenticity, integr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DORA-A28-P7-D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28(7)(d)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the competent authority can no longer effectively supervise the financial entity as a result of the conditions of, or circumstances related to, the respective contractual arr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For ICT services supporting critical or important functions, financial entities shall put in place exit strategies. The exit strategies shall take into account risks that may emerg</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DORA-A28-P8-25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ensure that they are able to exit contractual arrangements without: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DORA-A28-P8-26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Exit plans shall be comprehensive, documented and, in accordance with the criteria set out in Article 4(2), shall be sufficiently tested and reviewed periodically.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DORA-A28-P8-27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identify alternative solutions and develop transition plans enabling them to remove the contracted ICT services and the relevant data from the ICT third-pa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DORA-A28-P8-28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have appropriate contingency measures in place to maintain business continuity in the event of the circumstances referred to in the first subparagraph.</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DORA-A28-P8-A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28(8)(a)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disruption to their business activities,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DORA-A28-P8-B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28(8)(b)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limiting compliance with regulatory requirements,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DORA-A28-P8-C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28(8)(c)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detriment to the continuity and quality of services provided to clients.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3–10 — Lifecycle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assessment, approvals, monitoring, contract and exit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DORA-A28-P9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28(9)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ESAs shall, through the Joint Committee, develop draft implementing technical standards to establish the standard templates for the purposes of the register of information refe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2 — Legal and regulatory basis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DORA-A28-P9-33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28(9)</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Power is conferred on the Commission to adopt the implementing technical standards referred to in the first subparagraph in accordance with Article 15 of Regulations (EU) No 1093/2</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2 — Legal and regulatory basis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document, approval and implementation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DORA-A29-P1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29(1)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When performing the identification and assessment of risks referred to in Article 28(4), point (c), financial entities shall also take into account whether the envisaged conclusion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D — Concentration and substitutability assessment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and portfolio concentration assessment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DORA-A29-P1-2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29(1)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weigh the benefits and costs of alternative solutions, such as the use of different ICT third-party service providers, taking into account if and how envis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D — Concentration and substitutability assessment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and portfolio concentration assessment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DORA-A29-P1-A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29(1)(a)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contracting an ICT third-party service provider that is not easily substitutable; or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D — Concentration and substitutability assessment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and portfolio concentration assessment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DORA-A29-P1-B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29(1)(b)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having in place multiple contractual arrangements in relation to the provision of ICT services supporting critical or important functions with the same ICT third-party service prov</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D — Concentration and substitutability assessment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and portfolio concentration assessment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DORA-A29-P2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29(2)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the contractual arrangements on the use of ICT services supporting critical or important functions include the possibility that an ICT third-party service provider further su</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D — Concentration and substitutability assessment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and portfolio concentration assessment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DORA-A29-P2-6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29(2)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contractual arrangements concern ICT services supporting critical or important functions, financial entities shall duly consider the insolvency law provisions that would appl</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D — Concentration and substitutability assessment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and portfolio concentration assessment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DORA-A29-P2-7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29(2)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contractual arrangements on the use of ICT services supporting critical or important functions are concluded with an ICT third-party service provider established in a third c</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D — Concentration and substitutability assessment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Provider and portfolio concentration assessment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DORA-A29-P2-8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29(2)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the contractual arrangements on the use of ICT services supporting critical or important functions provide for subcontracting, financial entities shall assess whether and how</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D — Concentration and substitutability assessment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Provider and portfolio concentration assessment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rights and obligations of the financial entity and of the ICT third-party service provider shall be clearly allocated and set out in writing. The full contract shall include th</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contractual arrangements on the use of ICT services shall include at least the following elements: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clear and complete description of all functions and ICT services to be provided by the ICT third-party service provider, indicating whether subcontracting of an ICT service suppo</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locations, namely the regions or countries, where the contracted or subcontracted functions and ICT services are to be provided and where data is to be processed, including the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provisions on availability, authenticity, integrity and confidentiality in relation to the protection of data, including personal data;</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provisions on ensuring access, recovery and return in an easily accessible format of personal and non-personal data processed by the financial entity in the event of the insolvency</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service level descriptions, including updates and revisions thereof;</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obligation of the ICT third-party service provider to provide assistance to the financial entity at no additional cost, or at a cost that is determined ex-ante , when an ICT in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obligation of the ICT third-party service provider to fully cooperate with the competent authorities and the resolution authorities of the financial entity, including persons a</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DORA-A30-P2-H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30(2)(h)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termination rights and related minimum notice periods for the termination of the contractual arrangements, in accordance with the expectations of competent authorities and resoluti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DORA-A30-P2-I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30(2)(i)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conditions for the participation of ICT third-party service providers in the financial entities’ ICT security awareness programmes and digital operational resilience training 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contractual arrangements on the use of ICT services supporting critical or important functions shall include, in addition to the elements referred to in paragraph 2, at least 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DORA-A30-P3-13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By way of derogation from point (e), the ICT third-party service provider and the financial entity that is a microenterprise may agree that the financial entity’s rights of access,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full service level descriptions, including updates and revisions thereof with precise quantitative and qualitative performance targets within the agreed service levels to allow eff</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notice periods and reporting obligations of the ICT third-party service provider to the financial entity, including notification of any development that might have a material impac</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requirements for the ICT third-party service provider to implement and test business contingency plans and to have in place ICT security measures, tools and policies that provide 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obligation of the ICT third-party service provider to participate and fully cooperate in the financial entity’s TLPT as referred to in Articles 26 and 27;</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the right to monitor, on an ongoing basis, the ICT third-party service provider’s performance, which entails the following: (i) unrestricted rights of access, inspection and audit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DORA-A30-P3-F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30(3)(f)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exit strategies, in particular the establishment of a mandatory adequate transition period: (i) during which the ICT third-party service provider will continue providing the respec</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When negotiating contractual arrangements, financial entities and ICT third-party service providers shall consider the use of standard contractual clauses developed by public autho</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ESAs shall, through the Joint Committee, develop draft regulatory technical standards to specify further the elements referred to in paragraph 2, point (a), which a financial 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DORA-A30-P5-22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When developing those draft regulatory technical standards, the ESAs shall take into consideration the size and overall risk profile of the financial entity, and the nature, scale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DORA-A30-P5-23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30(5)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ESAs shall submit those draft regulatory technical standards to the Commission by 17 July 2024.</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DORA-A30-P5-24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30(5)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Power is delegated to the Commission to supplement this Regulation by adopting the regulatory technical standards referred to in the first subparagraph in accordance with Articles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C and Contract Matrix — Mandatory contractual provisions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Executed contract, addendum or approved remediation/risk decision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DORA-A04-P1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4(1)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implement the rules laid down in Chapter II in accordance with the principle of proportionality, taking into account their size and overall risk profile, a</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3 — Scope, applicability and proportionality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Recorded proportionality assessment and periodic review</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DORA-A04-P2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4(2)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 addition, the application by financial entities of Chapters III, IV and V, Section I, shall be proportionate to their size and overall risk profile, and to the nature, scale and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3 — Scope, applicability and proportionality</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Recorded proportionality assessment and periodic review</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DORA-A04-P3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4(3)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The competent authorities shall consider the application of the proportionality principle by financial entities when reviewing the consistency of the ICT risk management framework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3 — Scope, applicability and proportionality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Recorded proportionality assessment and periodic review</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DORA-A45-P1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45(1)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may exchange amongst themselves cyber threat information and intelligence, including indicators of compromise, tactics, techniques, and procedures, cyber securit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Annex E — Optional Information-Sharing Decision Record</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information-sharing decision record, participation terms and competent-authority notification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DORA-A45-P1-A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45(1)(a)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aims to enhance the digital operational resilience of financial entities, in particular through raising awareness in relation to cyber threats, limiting or impeding the cyber threa</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Annex E — Optional Information-Sharing Decision Record</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information-sharing decision record, participation terms and competent-authority notification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DORA-A45-P1-B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45(1)(b)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takes places within trusted communities of financial entities;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Annex E — Optional Information-Sharing Decision Record</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information-sharing decision record, participation terms and competent-authority notification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DORA-A45-P1-C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45(1)(c)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is implemented through information-sharing arrangements that protect the potentially sensitive nature of the information shared, and that are governed by rules of conduct in full 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Annex E — Optional Information-Sharing Decision Record</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information-sharing decision record, participation terms and competent-authority notification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DORA-A45-P2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DORA Article 45(2)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For the purpose of paragraph 1, point (c), the information-sharing arrangements shall define the conditions for participation and, where appropriate, shall set out the details on 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Annex E — Optional Information-Sharing Decision Record</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information-sharing decision record, participation terms and competent-authority notification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DORA-A45-P3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DORA Article 45(3)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notify competent authorities of their participation in the information-sharing arrangements referred to in paragraph 1, upon validation of their membership</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Annex E — Optional Information-Sharing Decision Record</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information-sharing decision record, participation terms and competent-authority notification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IS-ACT78-S1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IS_ACT78 Section 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DORA has force of law in Iceland with EEA adaptations under JCD No. 40/2025. The Act entered into force on 1 January 2026.</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2 — Icelandic legal basis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Applicability memorandum and legal-source register</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IS-ACT78-S3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IS_ACT78 Section 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Central Bank of Iceland is the competent authority and the Financial Supervisory Authority supervises compliance.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2 and Section 9 — Authority and reporting interface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Current authority contacts and reporting-channel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IS-ACT78-S4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IS_ACT78 Section 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Supervisory Authority may require remediation within an appropriate period where requirements are not met.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D13 — Part C — Findings and remediation tracker</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Supervisory action log and closure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IS-ACT78-S5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IS_ACT78 Section 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Administrative fines may be imposed for breaches of the specified DORA obligations, including Articles 16–19, 24–30.</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2 — Legal basis and consequences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Board and staff training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IS-R310-A2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IS_RULE310 Article 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incorporated Level 2 measures govern ICT incident management/reporting, ICT-risk management, third-party use and, conditionally, TLPT.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2 — Applicable Level 2 measures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Controlled legal-source register and periodic change review</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ITS2956-B0101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Annex I — Template B_01.01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Maintain the prescribed data fields for template B_01.01 in accordance with the column-level instructions and mandatory/conditional status in Annex II.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Worksheet B_01.01</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ITS2956-B0102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Annex I — Template B_01.02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Maintain the prescribed data fields for template B_01.02 in accordance with the column-level instructions and mandatory/conditional status in Annex II.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Worksheet B_01.02</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ITS2956-B0103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Annex I — Template B_01.03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Maintain the prescribed data fields for template B_01.03 in accordance with the column-level instructions and mandatory/conditional status in Annex II.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Worksheet B_01.03</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ITS2956-B0201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Annex I — Template B_02.01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Maintain the prescribed data fields for template B_02.01 in accordance with the column-level instructions and mandatory/conditional status in Annex II.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Worksheet B_02.01</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ITS2956-B0202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Annex I — Template B_02.02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Maintain the prescribed data fields for template B_02.02 in accordance with the column-level instructions and mandatory/conditional status in Annex II.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Worksheet B_02.02</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ITS2956-B0203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Annex I — Template B_02.03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Maintain the prescribed data fields for template B_02.03 in accordance with the column-level instructions and mandatory/conditional status in Annex II.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Worksheet B_02.03</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ITS2956-B0301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Annex I — Template B_03.01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Maintain the prescribed data fields for template B_03.01 in accordance with the column-level instructions and mandatory/conditional status in Annex II.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Worksheet B_03.01</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ITS2956-B0302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Annex I — Template B_03.02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Maintain the prescribed data fields for template B_03.02 in accordance with the column-level instructions and mandatory/conditional status in Annex II.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Worksheet B_03.02</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ITS2956-B0303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Annex I — Template B_03.03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Maintain the prescribed data fields for template B_03.03 in accordance with the column-level instructions and mandatory/conditional status in Annex II.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Worksheet B_03.03</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ITS2956-B0401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Annex I — Template B_04.01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Maintain the prescribed data fields for template B_04.01 in accordance with the column-level instructions and mandatory/conditional status in Annex II.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Worksheet B_04.01</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ITS2956-B0501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Annex I — Template B_05.01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Maintain the prescribed data fields for template B_05.01 in accordance with the column-level instructions and mandatory/conditional status in Annex II.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Worksheet B_05.01</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ITS2956-B0502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Annex I — Template B_05.02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Maintain the prescribed data fields for template B_05.02 in accordance with the column-level instructions and mandatory/conditional status in Annex II.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Worksheet B_05.02</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ITS2956-B0601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Annex I — Template B_06.01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Maintain the prescribed data fields for template B_06.01 in accordance with the column-level instructions and mandatory/conditional status in Annex II.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Worksheet B_06.01</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ITS2956-B0701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Annex I — Template B_07.01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Maintain the prescribed data fields for template B_07.01 in accordance with the column-level instructions and mandatory/conditional status in Annex II.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Worksheet B_07.01</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Populated and validated template worksheet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ITS2956-A02-Part_2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2(art_2)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assign a rank to each ICT third-party service provider. The rank shall be any natural number higher or equal to ‘1’ where the lower the natural number assi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ITS2956-A02-Part_2-2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2(art_2)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rank of the direct ICT third-party service provider in the ICT service supply chain shall always be ‘1’.</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ITS2956-A02-Part_2-3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2(art_2)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rank of the subcontractor in the ICT service supply chain shall always be higher than ‘1’.</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ITS2956-A03-P1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3(1)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use the templates set out in Annex I to IV to maintain and update the register of information in accordance with Article 28(3) of Regulation (EU) 2022/2554</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ITS2956-A03-P2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3(2)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ensure that the templates referred to in paragraph 1 include all of the following:</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ITS2956-A03-P2-A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3(2)(a)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relevant information in relation to all the ICT services provided by direct ICT third-party providers;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ITS2956-A03-P2-B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3(2)(b)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information on all subcontractors that effectively underpin ICT services supporting critical or important functions or material parts thereof.</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ITS2956-A03-P3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3(3)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ensure that the information contained in the templates referred to in paragraph 1 is accurate and consistent. Financial entities shall review the informati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ITS2956-A03-P3-6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3(3)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In case of groups, financial entities responsible for maintaining and updating the register of information at sub-consolidated and consolidated level shall ensure that information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ITS2956-A03-P4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3(4)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ensure that the information contained in the templates referred to in paragraph 1 adhere to the following principles of data quality:</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ITS2956-A03-P4-A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3(4)(a)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accuracy;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ITS2956-A03-P4-B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3(4)(b)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completeness;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ITS2956-A03-P4-C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3(4)(c)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consistency;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ITS2956-A03-P4-D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3(4)(d)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integrity;</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ITS2956-A03-P4-E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3(4)(e)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uniformity;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ITS2956-A03-P4-F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3(4)(f)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validity.</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ITS2956-A03-P5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3(5)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Financial entities shall use a valid and active legal entity identifier (LEI) or the European Unique Identifier referred to in Article 16 of Directive (EU) 2017/1132 (‘EUID’), and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ITS2956-A03-P6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3(6)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an ICT service provided by a direct ICT third-party service provider is supporting a critical or important function of the financial entities, financial entities shall ensure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ITS2956-A04-P1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4(1)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Unless otherwise specified in the instructions, each template composing the register of information shall be a table with a predefined number of columns and an indefinite number of</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ITS2956-A04-P2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4(2)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Financial entities shall complete each data element with a single value. Where more than one value is valid for a specific data element, financial entities shall add an additional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ITS2956-A04-P3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4(3)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complete all data elements in the register of information at entity level, sub-consolidated and consolidated level, as applicable.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ITS2956-A05-P1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5(1)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include in the register of information, in accordance with the instructions set out in Annex I, the following information: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ITS2956-A05-P1-A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5(1)(a)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general information on the financial entity maintaining and updating the register of information at entity, sub-consolidated and consolidated level, respectively, as specified in 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ITS2956-A05-P1-B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5(1)(b)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general information on the entities in the consolidation as specified in template B_01.02 of Annex 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ITS2956-A05-P1-C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5(1)(c)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identification of the branches of financial entities located outside the home country listed in template B_01.02, where applicable, as specified in template B_01.03 of Annex 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ITS2956-A05-P1-D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5(1)(d)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general information on the contractual arrangements as specified in template B_02.01 of Annex 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ITS2956-A05-P1-E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5(1)(e)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specific information on the contractual arrangements as specified in template B_02.02 of Annex 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ITS2956-A05-P1-F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5(1)(f)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information on the links between intra-group contractual arrangements and contractual arrangements with ICT third-party service providers which are not part of the group using the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ITS2956-A05-P1-G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5(1)(g)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information on the entities signing the contractual arrangements with the direct ICT third-party service providers for receiving ICT services or on behalf of the entities using the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ITS2956-A05-P1-H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5(1)(h)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identification of the ICT third-party service providers signing the contractual arrangements for providing ICT services as specified in template B_03.02 of Annex 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ITS2956-A05-P1-I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5(1)(i)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identification of the entities signing the contractual arrangements for providing ICT services to other entities in the consolidation as specified in template B_03.03 of Annex 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ITS2956-A05-P1-J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5(1)(j)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information on the entities making use of the ICT services provided by the ICT third-party service providers as specified in template B_04.01 of Annex 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ITS2956-A05-P1-K</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5(1)(k)</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information on the direct ICT third-party service providers and subcontractors, as specified in template B_05.01 of Annex 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ITS2956-A05-P1-L</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5(1)(l)</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information on the ICT service supply chain, as specified in template B_05.02 of Annex 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ITS2956-A05-P1-M</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5(1)(m)</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information on the identification of functions as specified in template B_06.01 of Annex 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ITS2956-A05-P1-N</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5(1)(n)</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information on the assessment of the ICT services provided by ICT third-party service providers supporting a critical or important function or material parts thereof as specified 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ITS2956-A05-P1-O</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5(1)(o)</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information on the terminology used by financial entities and the terms included in the closed lists and classification systems used when filling in the templates as specified in 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ITS2956-A05-P2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5(2)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Where relevant for their risk management or contract management purposes, financial entities may include into the register of information additional information in the format that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ITS2956-A06-P1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ITS2956 Article 6(1)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 the case of groups, the parent undertakings shall take into account the relevant sectorial Union legislation when determining which entities to be included in the register of in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ITS2956-A06-P2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ITS2956 Article 6(2)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 register of information maintained and updated at sub-consolidated and consolidated levels shall include all financial entities and ICT intra-group service providers, which are p</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D10 — Prescribed ITS worksheet and Instructions sheet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 internally consistent and export-ready register of information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ITS302-A01-P1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1(1)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use the template laid down in Annex I to submit the initial notification, the intermediate report, and the final report referred to in Article 19(4) of Reg</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ITS302-A01-P1-A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1(1)(a)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financial entities that submit an initial notification shall complete the data fields of the template which correspond to the information to be provided in accordance with Article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ITS302-A01-P1-B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1(1)(b)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that submit an intermediate report shall complete the data fields of the template which correspond to the information to be provided in accordance with Article 3</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ITS302-A01-P1-C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1(1)(c)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that submit a final report shall complete the data fields of the template which correspond to the information to be provided in accordance with Article 4 of Dele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ITS302-A01-P2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1(2)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ensure that the information contained in the initial notification, and in the intermediate and final report, is complete and accurate.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ITS302-A01-P3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1(3)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provide estimated values based on other available data and information, to the extent possible, where accurate data are not available at the time of report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ITS302-A01-P4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1(4)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When submitting an intermediate or final report, financial entities shall use the template laid down in Annex I to submit all required information and update, where applicable, the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ITS302-A01-P5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1(5)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follow the data glossary and instructions set out in Annex II when completing the template laid down in Annex 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ITS302-A02-Part_2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2(art_2)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may combine the submission of the initial notification, the intermediate report, and the final report to provide two or all of those at the same time, where regu</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ITS302-A03-Part_3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3(art_3)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that provide information on non-major recurring ICT-related incidents that cumulatively meet the conditions for one major ICT-related incident as set out in Arti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ITS302-A04-P1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4(1)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use secure electronic channels as made available by their competent authority to submit the initial notification and the intermediate and final reports.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ITS302-A04-P2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4(2)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that are unable to use the secure electronic channels as made available by their competent authority shall inform their competent authority about a major ICT-rel</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ITS302-A05-Part_5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5(art_5)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after further assessment, the financial entity concludes that the ICT-related incident previously reported as major, at no time fulfilled the classification criteria and thre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ITS302-A06-P1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6(1)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that have outsourced the obligation to report major ICT-related incidents in accordance with Article 19(5) of Regulation (EU) 2022/2554 shall inform their compet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ITS302-A06-P2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6(2)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Financial entities shall provide the competent authority with the name, contact details, and identification code of the third-party that will submit the major ICT-related incident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ITS302-A06-P3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6(3)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inform their competent authority as soon as they no longer outsource their reporting obligations as referred to in Article 19(5) of Regulation (EU) 2022/25</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ITS302-A07-P1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7(1)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third-party service provider to whom reporting obligations have been outsourced as referred to in Article 19(5) of Regulation (EU) 2022/2554 may use the template set out in Annex</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ITS302-A07-P1-A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7(1)(a)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major ICT-related incident to be reported originates from or is being caused by a third-party ICT service provider;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ITS302-A07-P1-B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7(1)(b)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that third-party service provider provides the relevant ICT service to more than one financial entity, or to a group;</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ITS302-A07-P1-C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7(1)(c)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ICT-related incident is classified as major by each financial entity covered in the aggregated notification or report;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ITS302-A07-P1-D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7(1)(d)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major ICT-related incident affects financial entities within a single Member State and the aggregated report relates to financial entities which are supervised by the same comp</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ITS302-A07-P1-E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7(1)(e)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competent authorities have explicitly permitted this type of financial entities to aggregate their reporting.</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ITS302-A07-P2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7(2)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Paragraph 1 shall not apply to credit institutions that are considered to be of significant relevance as referred to in Article 2 point (16) of Regulation (EU) No 468/2014 of the 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ITS302-A07-P3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7(3)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competent authorities require information on the individual impact of the major ICT-related incident on a single financial entity, upon request of the competent authority, th</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ITS302-A08-P1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ITS302 Article 8(1)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Financial entities that notify significant cyber threats to competent authorities in accordance with Article 19(2) of Regulation (EU) 2022/2554 shall use the template laid down in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ITS302-A08-P2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ITS302 Article 8(2)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ensure that the information contained in the notification of significant cyber threats is complete and accurate.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RTS1190-A10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 Article 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Following the approval of the scope specification document by the TLPT authority, the threat intelligence provider shall analyse generic and sector-specific threat intelligence rel</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RTS1190-A11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RTS1190 Article 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Following approval of the targeted threat intelligence report by the TLPT authority, the testers shall prepare the red team test plan that shall contain the information set out in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RTS1190-A12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 Article 12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Following the end of the active red team testing phase, the control team lead shall inform the blue team that a TLPT took place. Within 4 weeks from the end of the active red team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RTS1190-A13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RTS1190 Article 13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Within 8 weeks from the notification referred to in Article 12(7) of this Regulation, the financial entity shall provide the remediation plans and the documentation referred to in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RTS1190-A14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 Article 14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The attestation referred to in Article 26(7) of Regulation (EU) 2022/2554 shall contain the information set out in Annex VIII. Where several TLPT authorities have been involved in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RTS1190-A15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RTS1190 Article 15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establish all of the following arrangements for the use of internal testers: The policy referred to in point (a) shall: the establishment and implementatio</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RTS1190-A16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 Article 16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For the purposes of conducting a TLPT in relation to a financial entity providing services in more than one Member State, including through a branch, its TLPT authority shall: The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RTS1190-A02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RTS1190 Article 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TLPT authorities shall assess whether any financial entity is required to perform TLPT, taking into account the impact of those financial entities, their systemic character and the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RTS1190-A03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 Article 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TLPT authority shall assign the responsibility for coordinating TLPT-related activities to a TCT. A TCT shall be composed of test managers that are assigned to oversee an individ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RTS1190-A04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RTS1190 Article 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appoint a control team lead which shall be responsible for the day-to-day management of the TLPT and the decisions and actions of the control team. Financi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RTS1190-A05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 Article 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During the preparation phase referred to in Article 9, the control team shall assess the risks associated with the testing of live production systems of critical or important funct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RTS1190-A06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RTS1190 Article 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 the case of a joint TLPT or a pooled TLPT, the control team of each financial entity shall conduct its own risk assessment and establish its own risk management measures. The co</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RTS1190-A07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 Article 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control team shall take measures to manage the risks relating to the TLPT and shall in particular ensure that, for each TLPT: the threat intelligence provider and external test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RTS1190-A08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RTS1190 Article 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Unless otherwise decided by the lead TLPT authority, where several financial entities, identified in accordance with Article 16(2) or (4), are involved in a pooled or joint TLPT, 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RTS1190-A09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RTS1190 Article 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Conditional — TLPT designation</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financial entity identified pursuant to Article 26, paragraph 8, third subparagraph of Regulation (EU) 2022/2554 shall initiate a TLPT following a notification from the TLPT auth</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Appendix C — TLPT activation checklist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Designation monitoring; if activated, a separate TLPT project file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RTS1772-A01-P1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number of clients affected by the incident as referred to in Article 18(1), point (a), of Regulation (EU) 2022/2554, shall reflect the number of all affected clients, whether 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RTS1772-A01-P2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1(2)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number of financial counterparts affected by the incident as referred to in Article 18(1), point (a), of Regulation (EU) 2022/2554 shall reflect the number of all affected fina</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RTS1772-A01-P3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1(3)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In relation to the relevance of clients and financial counterparts affected by the incident as referred to in Article 18(1), point (a), of Regulation (EU) 2022/2554, the financial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RTS1772-A01-P4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1(4)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 relation to the amount or number of transactions affected by the incident as referred to in Article 18(1), point (a), of Regulation (EU) 2022/2554, the financial entity shall ta</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RTS1772-A01-P5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1(5)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the actual number of clients or financial counterparts affected or the actual number or amount of transactions affected cannot be determined, the financial entity shall estim</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RTS1772-A10-Part_10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10(art_10)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For the purposes of Article 18(2) of Regulation (EU) 2022/2554, a cyber threat shall be considered significant where all of the following conditions are fulfilled: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RTS1772-A10-Part_10-2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10(art_10)</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depending on the type of cyber threat and available information, the financial entity concludes that the materiality thresholds set out in Article 9(2), (3), (5) and (6) cou</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RTS1772-A10-Part_10-A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10(art_10)(a)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cyber threat, if materialised, could affect or could have affected critical or important functions of the financial entity, or could affect other financial entities, third-part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RTS1772-A10-Part_10-B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10(art_10)(b)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cyber threat has a high probability of materialisation at the financial entity or at other financial entities, taking into account at least the following elements: (i) applicab</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RTS1772-A10-Part_10-C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10(art_10)(c)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cyber threat could, if materialised, meet any of the following: (i) the criterion regarding criticality of services set out in Article 18(1), point (e), of Regulation (EU) 2022</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RTS1772-A11-Part_11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11(art_11)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assessment of whether the major incident is relevant for competent authorities in other Member States as referred to in Article 19(7) of Regulation (EU) 2022/2554 shall be base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RTS1772-A11-Part_11-A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11(art_11)(a)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clients or financial counterparts;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RTS1772-A11-Part_11-B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11(art_11)(b)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 branch of the financial entity or another financial entity within the group;</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RTS1772-A11-Part_11-C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11(art_11)(c)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financial market infrastructure or a third-party provider which may affect financial entities to which they provide services.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RTS1772-A12-Part_12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12(art_12)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details of major incidents to be submitted by competent authorities to other competent authorities in accordance with Article 19(6) of Regulation (EU) 2022/2554 and the notific</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RTS1772-A02-P1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2(1)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For the purposes of determining the reputational impact of the incident as referred to in Article 18(1), point (a), of Regulation (EU) 2022/2554, financial entities shall consider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RTS1772-A02-P1-A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2(1)(a)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incident has been reflected in the media;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RTS1772-A02-P1-B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2(1)(b)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incident has resulted in repetitive complaints from different clients or financial counterparts on client-facing services or critical business relationships;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RTS1772-A02-P1-C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2(1)(c)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entity will not be able to or is likely not to be able to meet regulatory requirements as a result of the incident;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RTS1772-A02-P1-D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2(1)(d)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entity will or is likely to lose clients or financial counterparts with a material impact on its business as a result of the incident.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RTS1772-A02-P2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2(2)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When assessing the reputational impact of the incident, financial entities shall take into account the level of visibility that the incident has gained or is likely to gain in rela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RTS1772-A03-P1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3(1)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measure the duration of an incident as referred to in Article 18(1), point (b), of Regulation (EU) 2022/2554, from the moment the incident occurs until the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RTS1772-A03-P1-2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3(1)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financial entities are unable to determine the moment when the incident occurred, they shall measure the duration of the incident from the moment it was detected. Where finan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RTS1772-A03-P1-3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3(1)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financial entities do not yet know when the incident will be resolved or are unable to verify records in logs or other data sources, they shall apply estimates.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RTS1772-A03-P2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3(2)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Financial entities shall measure the service downtime of an incident as referred to in Article 18(1), point (b), of Regulation (EU) 2022/2554, from the moment the service is fully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RTS1772-A03-P2-5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3(2)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financial entities are unable to determine the moment when the service downtime started, they shall measure the service downtime from the moment it was detected.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RTS1772-A04-Part_4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4(art_4)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For the purpose of determining the geographical spread with regard to the areas affected by the incident as referred to in Article 18(1), point (c), of Regulation (EU) 2022/2554, f</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RTS1772-A04-Part_4-A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4(art_4)(a)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clients and financial counterparts in other Member States;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RTS1772-A04-Part_4-B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4(art_4)(b)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branches or other financial entities within the group carrying out activities in other Member States;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RTS1772-A04-Part_4-C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4(art_4)(c)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market infrastructures or third-party providers, which may affect financial entities in other Member States to which they provide services, to the extent such information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RTS1772-A05-Part_5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5(art_5)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For the purpose of determining the data losses that the incident entails as referred to in Article 18(1), point (d), of Regulation (EU) 2022/2554, financial entities shall take int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RTS1772-A05-Part_5-A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5(art_5)(a)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 relation to the availability of data, whether the incident has rendered the data on demand by the financial entity, its clients or its counterparts temporarily or permanently in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RTS1772-A05-Part_5-B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5(art_5)(b)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 relation to the authenticity of data, whether the incident has compromised the trustworthiness of the source of data;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RTS1772-A05-Part_5-C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5(art_5)(c)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 relation to the integrity of data, whether the incident has resulted in non-authorised modification of data that has rendered it inaccurate or incomplete;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RTS1772-A05-Part_5-D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5(art_5)(d)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 relation to the confidentiality of data, whether the incident has resulted in data having been accessed by or disclosed to an unauthorised party or system.</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RTS1772-A06-Part_6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6(art_6)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For the purpose of determining the criticality of the services affected as referred to in Article 18(1), point (e), of Regulation (EU) 2022/2554, financial entities shall assess wh</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RTS1772-A06-Part_6-A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6(art_6)(a)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affects or has affected ICT services or network and information systems that support critical or important functions of the financial entity;</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RTS1772-A06-Part_6-B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6(art_6)(b)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affects or has affected financial services provided by the financial entity that require authorisation, registration or that are supervised by competent authorities;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RTS1772-A06-Part_6-C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6(art_6)(c)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constitutes or has constituted a successful, malicious and unauthorised access to the network and information systems of the financial entity.</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RTS1772-A07-P1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7(1)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For the purpose of determining the economic impact of the incident as referred to in Article 18(1), point (f), of Regulation (EU) 2022/2554, financial entities shall, without accou</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RTS1772-A07-P1-A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7(1)(a)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expropriated funds or financial assets for which they are liable, including assets lost to theft;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RTS1772-A07-P1-B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7(1)(b)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costs for replacement or relocation of software, hardware or infrastructure;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RTS1772-A07-P1-C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7(1)(c)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staff costs, including costs associated with replacement or relocation of staff, recruitment of extra staff, remuneration of overtime and recovery of lost or impaired skills;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RTS1772-A07-P1-D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7(1)(d)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fees due to non-compliance with contractual obligations;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RTS1772-A07-P1-E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7(1)(e)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costs for redress and compensation to customers;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RTS1772-A07-P1-F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7(1)(f)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losses due to forgone revenues;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RTS1772-A07-P1-G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7(1)(g)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costs associated with internal and external communication;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RTS1772-A07-P1-H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7(1)(h)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advisory costs, including costs associated with legal counselling, forensic services and remediation services.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RTS1772-A07-P2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7(2)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Costs and losses referred to in paragraph 1 shall not include costs that are necessary for the day-to-day operation of the business, in particular the following:</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RTS1772-A07-P2-A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7(2)(a)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costs for general maintenance of infrastructure, equipment, hardware and software, and costs for keeping skills of staff up to date;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RTS1772-A07-P2-B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7(2)(b)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internal or external costs to enhance the business after the incident, including upgrades, improvements and risk assessment initiatives;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RTS1772-A07-P2-C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7(2)(c)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insurance premiums.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RTS1772-A07-P3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7(3)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calculate the amounts of costs and losses based on data available at the time of reporting. Where the actual amounts of costs and losses cannot be determin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RTS1772-A07-P4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7(4)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When assessing the economic impact of the incident, financial entities shall sum up the costs and losses referred to in paragraph 1.</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RTS1772-A08-P1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8(1)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An incident shall be considered a major incident for the purposes of Article 19(1) of Regulation (EU) 2022/2554 where it has affected critical services as referred to in Article 6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RTS1772-A08-P1-A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8(1)(a)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materiality threshold referred to in Article 9(5), point (b), is met;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RTS1772-A08-P1-B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8(1)(b)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two or more of the other materiality thresholds referred to in Articles 9(1) to (6) are met.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8(2)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Recurring incidents that individually are not considered a major incident in accordance with paragraph 1 shall be considered as one major incident where they meet all of the follow</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RTS1772-A08-P2-5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8(2)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assess the existence of recurring incidents on a monthly basis.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RTS1772-A08-P2-6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8(2)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This paragraph does not apply to microenterprises and to financial entities listed in Article 16(1) of Regulation (EU) 2022/2554.</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RTS1772-A08-P2-A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8(2)(a)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they have occurred at least twice within 6 months;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RTS1772-A08-P2-B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8(2)(b)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they have the same apparent root cause as referred to in Article 20, first subparagraph, point (b) of Regulation (EU) 2022/2554;</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RTS1772-A08-P2-C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8(2)(c)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they collectively fulfil the criteria for being considered a major incident set out in paragraph 1.</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RTS1772-A09-P1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9(1)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materiality threshold for the criterion ‘clients, financial counterparts and transactions’ is met where any of the following conditions are fulfilled: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RTS1772-A09-P1-2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9(1)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the actual number of clients or financial counterparts affected or the actual number or amount of transactions affected cannot be determined, the financial entity shall estim</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RTS1772-A09-P1-A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9(1)(a)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number of affected clients is higher than 10 % of all clients using the affected service;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RTS1772-A09-P1-B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9(1)(b)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number of affected clients using the affected service is higher than 100 000;</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RTS1772-A09-P1-C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9(1)(c)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number of affected financial counterparts is higher than 30 % of all financial counterparts carrying out activities related to the provision of the affected service;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RTS1772-A09-P1-D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9(1)(d)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number of affected transactions is higher than 10 % of the daily average number of transactions carried out by the financial entity related to the affected service;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RTS1772-A09-P1-E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9(1)(e)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amount of affected transactions is higher than 10 % of the daily average value of transactions carried out by the financial entity related to the affected service;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RTS1772-A09-P1-F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9(1)(f)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clients or financial counterparts which have been identified as relevant in accordance with Article 1(3) have been affected.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RTS1772-A09-P2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9(2)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materiality threshold for the criterion ‘reputational impact’ is met where any of the conditions set out in Article 2, points (a) to (d), are fulfilled.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RTS1772-A09-P3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9(3)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materiality threshold for the criterion ‘duration and service downtime’ is met where any of the following conditions are fulfilled: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RTS1772-A09-P3-A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9(3)(a)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duration of the incident is longer than 24 hours;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RTS1772-A09-P3-B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9(3)(b)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service downtime is longer than 2 hours for ICT services that support critical or important functions.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RTS1772-A09-P4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9(4)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materiality threshold for the criterion ‘geographical spread’ is met where the incident has an impact in two or more Member States in accordance with Article 4.</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RTS1772-A09-P5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9(5)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materiality threshold for the criterion ‘data losses’ is met where any of the following conditions are fulfilled: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RTS1772-A09-P5-A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9(5)(a)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any impact as referred to in Article 5 on the availability, authenticity, integrity or confidentiality of data has or will have an adverse impact on the implementation of the busin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RTS1772-A09-P5-B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RTS1772 Article 9(5)(b)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any successful, malicious and unauthorised access not covered by point (a) occurs to network and information systems, where such access may result in data losses.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RTS1772-A09-P6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RTS1772 Article 9(6)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The materiality threshold for the criterion ‘economic impact’ is met where the costs and losses incurred by the financial entity due to the incident have exceeded or are likely to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 6 and Annex A — ICT Incident Classification and Escalation Tool</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Annex A classification worksheet, threshold evidence, decision approval and reassessment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RTS1773-A01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RTS1773 Article 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policy on the use of ICT services supporting critical or important functions provided by ICT third-party service providers (the ‘policy’) shall take into account the size and 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2–10 — Proportionate lifecycle procedure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Proportionate provider-lifecycle evidence under directly applicable DORA Articles 28–30</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RTS1773-A10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RTS1773 Article 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policy shall contain requirements for a documented exit plan for each contractual arrangement and for the periodic review and testing of the documented exit plan. When establis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2–10 — Proportionate lifecycle procedure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Proportionate provider-lifecycle evidence under directly applicable DORA Articles 28–30</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RTS1773-A02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RTS1773 Article 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this Regulation applies on a sub-consolidated or consolidated basis, the parent undertaking that is responsible for providing the consolidated or sub-consolidated financial 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2–10 — Proportionate lifecycle procedure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Proportionate provider-lifecycle evidence under directly applicable DORA Articles 28–30</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RTS1773-A03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RTS1773 Article 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management body shall review the policy at least once a year and update it where necessary. Changes made to the policy shall be implemented in a timely manner and as soon as it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2–10 — Proportionate lifecycle procedure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Proportionate provider-lifecycle evidence under directly applicable DORA Articles 28–30</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RTS1773-A04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RTS1773 Article 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policy shall specify the requirements, including the rules, the responsibilities and the processes, for each main phase of the lifecycle of the contractual arrangement, coverin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2–10 — Proportionate lifecycle procedure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Proportionate provider-lifecycle evidence under directly applicable DORA Articles 28–30</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RTS1773-A05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RTS1773 Article 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The policy shall require that the business needs of the financial entity are defined before a contractual arrangement is concluded. The policy shall require that a risk assessment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2–10 — Proportionate lifecycle procedure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Proportionate provider-lifecycle evidence under directly applicable DORA Articles 28–30</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RTS1773-A06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RTS1773 Article 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policy shall set out an appropriate and proportionate process for selecting and assessing the prospective ICT third-party service providers taking into account whether or not 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2–10 — Proportionate lifecycle procedure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Proportionate provider-lifecycle evidence under directly applicable DORA Articles 28–30</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RTS1773-A07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RTS1773 Article 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policy shall specify the appropriate measures to identify, prevent and manage actual or potential conflicts of interest arising from the use of ICT third-party service provider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2–10 — Proportionate lifecycle procedure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Proportionate provider-lifecycle evidence under directly applicable DORA Articles 28–30</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RTS1773-A08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RTS1773 Article 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The policy shall specify that the relevant contractual arrangement are to be in written form and are to include all the elements referred to in Article 30(2) and (3) of Regulation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D09 — Sections 2–10 — Proportionate lifecycle procedure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Proportionate provider-lifecycle evidence under directly applicable DORA Articles 28–30</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RTS1773-A09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RTS1773 Article 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Not applicable — SNI carve-out</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policy shall require that the contractual arrangements specify the measures and key indicators to monitor, on an ongoing basis, the performance of ICT third party service provi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D09 — Sections 2–10 — Proportionate lifecycle procedure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Proportionate provider-lifecycle evidence under directly applicable DORA Articles 28–30</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RTS1774-A28-P1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28(1)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entities referred to in Article 16(1) of Regulation (EU) 2022/2554 shall have in place an internal governance and control framework that ensures an effective and prud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RTS1774-A28-P2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28(2)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paragraph 1 shall, as part of their simplified ICT risk management framework, ensure that their management body: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RTS1774-A28-P2-A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28(2)(a)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bears the overall responsibility for ensuring that the simplified ICT risk management framework allows for the achievement of the financial entity’s business strategy in accordance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RTS1774-A28-P2-B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28(2)(b)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sets clear roles and responsibilities for all ICT-related tasks;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RTS1774-A28-P2-C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28(2)(c)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sets out information security objectives and ICT requirements;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RTS1774-A28-P2-D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28(2)(d)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approves, oversees, and periodically reviews: (i) the classification of information assets of the financial entity as referred to in Article 30(1) of this Regulation, the list of m</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RTS1774-A28-P2-E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28(2)(e)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allocates and reviews at least once a year the budget necessary to fulfil the financial entity’s digital operational resilience needs in respect of all types of resources, includin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RTS1774-A28-P2-F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28(2)(f)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specifies and implements the policies and measures included in Chapters I, II and III of this Title to identify, assess and manage the ICT risk the financial entity is exposed to;</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RTS1774-A28-P2-G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28(2)(g)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identifies and implements procedures, ICT protocols, and tools that are necessary to protect all information assets and ICT assets;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RTS1774-A28-P2-H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28(2)(h)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ensures that the staff of the financial entity is kept up to date with sufficient knowledge and skills to understand and assess ICT risk and its impact on the operations of the fin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RTS1774-A28-P2-I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28(2)(i)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establishes reporting arrangements, including the frequency, form, and content of reporting to the management body on the information security and digital operational resilience.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RTS1774-A28-P3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28(3)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paragraph 1 may, in accordance with Union and national sectoral law, outsource the tasks of verifying compliance with ICT risk management requ</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RTS1774-A28-P4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28(4)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entities referred to in paragraph 1 shall ensure an appropriate segregation and the independence of control functions and internal audit functions.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RTS1774-A28-P5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28(5)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paragraph 1 shall ensure that their simplified ICT risk management framework is subject to an internal audit by auditors, in line with the fin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RTS1774-A28-P6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28(6)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Based on the outcome of the audit referred to in paragraph 5, the financial entities referred to in paragraph 1 shall ensure the timely verification and remediation of critical ICT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D01 — Section 5 and 9–11 — Governance, reporting, resources and assurance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Board minutes, RACI, reports, budget and assurance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RTS1774-A29-P1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29(1)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Article 16(1) of Regulation (EU) 2022/2554 shall develop, document, and implement an information security policy in the context of the simplif</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2–17 — Information security policy and measures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Policy approval and control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RTS1774-A29-P2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29(2)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Based on their information security policy referred to in paragraph 1, the financial entities referred to in paragraph 1 shall establish and implement ICT security measures to miti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2–17 — Information security policy and measures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Policy approval and control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RTS1774-A29-P2-3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29(2)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ICT security measures shall include all of the measures referred to in Articles 30 to 38.</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2–17 — Information security policy and measures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Policy approval and control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RTS1774-A30-P1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30(1)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As part of the simplified ICT risk management framework referred to in Article 16(1), point (a), of Regulation (EU) 2022/2554, the financial entities referred to in paragraph 1 of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D04 — Functions, Assets, Providers and Dependencies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Current inventories and classifications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RTS1774-A30-P2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30(2)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paragraph 1 shall identify all critical or important functions supported by ICT third-party service providers.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D04 — Functions, Assets, Providers and Dependencies worksheets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Current inventories and classifications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RTS1774-A31-P1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entities referred to in Article 16(1) of Regulation (EU) 2022/2554 shall include in their simplified ICT risk management framework all of the following:</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D03 — Risk Methodology and Risk Register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Risk records and accepted treatment decisions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RTS1774-A31-P1-A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31(1)(a)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determination of the risk tolerance levels for ICT risk, in accordance with the risk appetite of the financial entity;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D03 — Risk Methodology and Risk Register worksheets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Risk records and accepted treatment decisions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RTS1774-A31-P1-B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31(1)(b)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identification and assessment of the ICT risks to which the financial entity is exposed;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D03 — Risk Methodology and Risk Register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Risk records and accepted treatment decisions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RTS1774-A31-P1-C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31(1)(c)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specification of mitigation strategies at least for the ICT risks that are not within the risk tolerance levels of the financial entity;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D03 — Risk Methodology and Risk Register worksheets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Risk records and accepted treatment decisions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RTS1774-A31-P1-D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31(1)(d)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monitoring of the effectiveness of the mitigation strategies referred to in point (c);</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D03 — Risk Methodology and Risk Register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Risk records and accepted treatment decisions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RTS1774-A31-P1-E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31(1)(e)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identification and assessment of any ICT and information security risks resulting from any major change in ICT system or ICT services, processes, or procedures, and from ICT se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D03 — Risk Methodology and Risk Register worksheets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Risk records and accepted treatment decisions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RTS1774-A31-P2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entities referred to in paragraph 1 shall carry out and document the ICT risk assessment periodically commensurate to the financial entities’ ICT risk profile.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D03 — Risk Methodology and Risk Register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Risk records and accepted treatment decisions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RTS1774-A31-P3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31(3)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paragraph 1 shall continuously monitor threats and vulnerabilities that are relevant to their critical or important functions, and information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D03 — Risk Methodology and Risk Register worksheets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Risk records and accepted treatment decisions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RTS1774-A31-P4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31(4)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entities referred to in paragraph 1 shall set out alert thresholds and criteria to trigger and initiate ICT-related incident response processes.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D03 — Risk Methodology and Risk Register worksheets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Risk records and accepted treatment decisions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RTS1774-A32-P1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32(1)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Article 16(1) of Regulation (EU) 2022/2554 shall identify and implement physical security measures designed on the basis of the threat landsca</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 7 — Physical and environmental security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Physical-security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RTS1774-A32-P2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32(2)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The measures referred to in paragraph 1 shall protect the premises of financial entities and, where applicable, data centres of financial entities where ICT assets and information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 7 — Physical and environmental security</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Physical-security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RTS1774-A32-P3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protection from environmental threats and hazards shall be commensurate with the importance of the premises concerned and, where applicable, the data centres and the criticalit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 7 — Physical and environmental security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Physical-security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RTS1774-A33-Part_33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33(art_33)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entities referred to in Article 16(1) of Regulation (EU) 2022/2554 shall develop, document, and implement procedures for the control of logical and physical access an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5–6 — Identity, access and privileged access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Access records and reviews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RTS1774-A33-Part_33-2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33(art_33)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For the purposes of point (c), the financial entity shall assign privileged, emergency, and administrator access on a need-to-use or an ad-hoc basis for all ICT systems, and shall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5–6 — Identity, access and privileged access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Access records and reviews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RTS1774-A33-Part_33-3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33(art_33)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For the purposes of point (d), financial entities shall use strong authentication methods that are based on leading practices for remote access to the financial entities’ network,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5–6 — Identity, access and privileged access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Access records and reviews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RTS1774-A33-Part_33-A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33(art_33)(a)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access rights to information assets, ICT assets, and their supported functions, and to critical locations of operation of the financial entity, are managed on a need-to-know, need-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5–6 — Identity, access and privileged access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Access records and reviews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RTS1774-A33-Part_33-B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33(art_33)(b)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user accountability, which ensures that users can be identified for the actions performed in the ICT systems;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5–6 — Identity, access and privileged access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Access records and reviews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RTS1774-A33-Part_33-C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33(art_33)(c)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account management procedures to grant, change, or revoke access rights for user and generic accounts, including generic administrator accounts;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5–6 — Identity, access and privileged access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Access records and reviews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RTS1774-A33-Part_33-D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33(art_33)(d)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authentication methods that are commensurate to the classification referred to in Article 30(1) and to the overall risk profile of ICT assets, and which are based on leading practi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5–6 — Identity, access and privileged access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Access records and reviews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RTS1774-A33-Part_33-E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33(art_33)(e)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access rights are periodically reviewed and are withdrawn when no longer required.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5–6 — Identity, access and privileged access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Access records and reviews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RTS1774-A34-Part_34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34(art_34)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entities referred to in Article 16(1) of Regulation (EU) 2022/2554 shall, as part of their systems, protocols, and tools, and for all ICT assets: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RTS1774-A34-Part_34-2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34(art_34)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For the purposes of point (f), financial entities shall align the level of detail of the logs with their purpose and usage of the ICT asset producing those logs.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RTS1774-A34-Part_34-A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34(art_34)(a)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monitor and manage the lifecycle of all ICT assets;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RTS1774-A34-Part_34-B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34(art_34)(b)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monitor whether the ICT assets are supported by ICT third-party service providers of financial entities, where applicable;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RTS1774-A34-Part_34-C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34(art_34)(c)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identify capacity requirements of their ICT assets and measures to maintain and improve the availability and efficiency of ICT systems and prevent ICT capacity shortages before the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RTS1774-A34-Part_34-D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34(art_34)(d)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perform automated vulnerability scanning and assessments of ICT assets commensurate to their classification as referred to in Article 30(1) and to the overall risk profile of the 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RTS1774-A34-Part_34-E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34(art_34)(e)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manage the risks related to outdated, unsupported, or legacy ICT assets;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RTS1774-A34-Part_34-F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34(art_34)(f)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log events related to logical and physical access control, ICT operations, including system and network traffic activities, and ICT change management;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RTS1774-A34-Part_34-G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34(art_34)(g)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identify and implement measures to monitor and analyse information on anomalous activities and behaviour for critical or important ICT operations;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RTS1774-A34-Part_34-H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34(art_34)(h)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implement measures to monitor relevant and up-to-date information about cyber threats;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RTS1774-A34-Part_34-I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34(art_34)(i)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implement measures to identify possible information leakages, malicious code and other security threats, and publicly known vulnerabilities in software and hardware, and check for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8–10 — ICT operations, vulnerabilities, patching and logging</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Operations, patching and log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RTS1774-A35-Part_35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35(art_35)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Article 16(1) of Regulation (EU) 2022/2554 shall, as part of their systems, protocols, and tools, develop and implement safeguards that ensure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11–12 — Data, system, network and endpoint security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Configuration and security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RTS1774-A35-Part_35-A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35(art_35)(a)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identification and implementation of measures to protect data in use, in transit, and at rest;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11–12 — Data, system, network and endpoint security</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Configuration and security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RTS1774-A35-Part_35-B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35(art_35)(b)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identification and implementation of security measures regarding the use of software, data storage media, systems and endpoint devices that transfer and store data of the finan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11–12 — Data, system, network and endpoint security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Configuration and security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RTS1774-A35-Part_35-C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35(art_35)(c)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identification and implementation of measures to prevent and detect unauthorised connections to the financial entity’s network, and to secure the network traffic between the fi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11–12 — Data, system, network and endpoint security</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Configuration and security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RTS1774-A35-Part_35-D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35(art_35)(d)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identification and implementation of measures that ensure the availability, authenticity, integrity, and confidentiality of data during network transmissions;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11–12 — Data, system, network and endpoint security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Configuration and security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RTS1774-A35-Part_35-E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35(art_35)(e)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 process to securely delete data on premises, or that are stored externally, that the financial entity no longer needs to collect or store;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11–12 — Data, system, network and endpoint security</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Configuration and security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RTS1774-A35-Part_35-F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35(art_35)(f)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process to securely dispose of, or decommission, data storage devices on premises, or data storage devices that are stored externally, that contain confidential information;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Sections 11–12 — Data, system, network and endpoint security</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Configuration and security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RTS1774-A35-Part_35-G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35(art_35)(g)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identification and implementation of measures to ensure that teleworking and the use of private endpoint devices does not adversely impact the financial entity’s ability to car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Sections 11–12 — Data, system, network and endpoint security</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Configuration and security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RTS1774-A36-P1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36(1)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Article 16(1) of Regulation (EU) 2022/2554 shall establish and implement an ICT security testing plan to validate the effectiveness of their 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Sections 3–8 — ICT security testing</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Test plans, reports and remediation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RTS1774-A36-P2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36(2)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entities referred to in paragraph 1 shall review, asses and test ICT security measures, taking into consideration the overall risk profile of the ICT assets of the fi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Sections 3–8 — ICT security testing</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Test plans, reports and remediation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RTS1774-A36-P3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36(3)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paragraph 1 shall monitor and evaluate the results of the security tests and update their security measures accordingly without undue delay in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Sections 3–8 — ICT security testing</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Test plans, reports and remediation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RTS1774-A37-Part_37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37(art_37)</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The financial entities referred to in Article 16(1) of Regulation (EU) 2022/2554 shall design and implement, where appropriate, a procedure governing the acquisition, development,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 14 — ICT acquisition, development and maintenance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Acquisition and supplier-assurance records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RTS1774-A37-Part_37-A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37(art_37)(a)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ensure that, before any acquisition or development of ICT systems takes place, the functional and non-functional requirements, including information security requirements, are clea</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 14 — ICT acquisition, development and maintenance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Acquisition and supplier-assurance records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RTS1774-A37-Part_37-B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37(art_37)(b)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ensure the testing and approval of ICT systems prior to their first use and before introducing changes to the production environment;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 14 — ICT acquisition, development and maintenance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Acquisition and supplier-assurance records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RTS1774-A37-Part_37-C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37(art_37)(c)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identify measures to mitigate the risk of unintentional alteration or intentional manipulation of the ICT systems during development and implementation in the production environmen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 14 — ICT acquisition, development and maintenance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Acquisition and supplier-assurance records</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RTS1774-A38-P1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38(1)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entities referred to in Article 16(1) of Regulation (EU) 2022/2554 shall develop, document, and implement an ICT project management procedure and shall specify the ro</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D02 — Section 15 — Project and change management</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Project/change approvals and test evidence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38(2)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The financial entities referred to in paragraph 1 shall develop, document, and implement an ICT change management procedure to ensure that all changes to ICT systems are recorded,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D02 — Section 15 — Project and change management</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Project/change approvals and test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RTS1774-A39-P1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39(1)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The financial entities referred to in Article 16(1) of Regulation (EU) 2022/2554 shall develop their ICT business continuity plans considering the results of the analysis of their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RTS1774-A39-P2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39(2)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ICT business continuity plans referred to in paragraph 1 shall:</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RTS1774-A39-P2-3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39(2)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For the purposes of point (f), the measures referred to in that point shall provide for the mitigation of failures of critical third-party providers.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RTS1774-A39-P2-A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39(2)(a)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be approved by the management body of the financial entity;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RTS1774-A39-P2-B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39(2)(b)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be documented and readily accessible in the event of an emergency or crisis;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RTS1774-A39-P2-C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39(2)(c)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allocate sufficient resources for their execution;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RTS1774-A39-P2-D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39(2)(d)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establish planned recovery levels and timeframes for the recovery and resumption of functions and key internal and external dependencies, including ICT third-party service provider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RTS1774-A39-P2-E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39(2)(e)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identify the conditions that may prompt the activation of the ICT business continuity plans and what actions are to be taken to ensure the availability, continuity, and recovery of</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RTS1774-A39-P2-F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39(2)(f)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identify the restoration and recovery measures for critical or important business functions, supporting processes, information assets, and their interdependencies to avoid adverse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RTS1774-A39-P2-G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39(2)(g)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identify backup procedures and measures that specify the scope of the data that are subject to the backup, and the minimum frequency of the backup, based on the criticality of the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RTS1774-A39-P2-H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39(2)(h)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consider alternative options where recovery may not be feasible in the short term because of costs, risks, logistics, or unforeseen circumstances;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RTS1774-A39-P2-I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39(2)(i)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specify the internal and external communication arrangements, including escalation plans;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RTS1774-A39-P2-J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39(2)(j)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be updated in line with lessons learned from incidents, tests, new risks, and threats identified, changed recovery objectives, major changes to the financial entity’s organisation,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D05 — Sections 4–10 — ICT business continuity components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and actionable continuity/recovery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RTS1774-A40-P1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40(1)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The financial entities referred to in Article 16(1) of Regulation (EU) 2022/2554 shall test their business continuity plans referred to in Article 39 of this Regulation, including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Section 5 and continuity test scripts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Continuity test reports and remediation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RTS1774-A40-P2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40(2)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testing of business continuity plans referred to in paragraph 1 shall demonstrate that the financial entities referred to in that paragraph are able to sustain the viability of</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D08 — Section 5 and continuity test scripts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Continuity test reports and remediation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RTS1774-A40-P3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40(3)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entities referred to in paragraph 1 shall document the results of the testing of business continuity plans and any identified deficiencies resulting from that testing</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D08 — Section 5 and continuity test scripts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Continuity test reports and remediation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RTS1774-A41-P1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41(1)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entities referred to in Article 16(1) of Regulation (EU) 2022/2554 shall submit the report on the review of the ICT risk management framework referred to in paragraph</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D13 — Part B — Article 41 review report template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review report and action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RTS1774-A41-P2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41(2)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report referred to in paragraph 1 shall contain all of the following information: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D13 — Part B — Article 41 review report template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review report and action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RTS1774-A41-P2-A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41(2)(a)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an introductory section providing: (i) a description of the context of the report in terms of the nature, scale, and complexity of the financial entity’s services, activities, and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D13 — Part B — Article 41 review report template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review report and action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RTS1774-A41-P2-B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41(2)(b)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applicable, the date of the approval of the report by the management body of the financial entity;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D13 — Part B — Article 41 review report template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review report and action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RTS1774-A41-P2-C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41(2)(c)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 description of the reasons for the review, including: (i) where the review has been initiated following supervisory instructions, evidence of such instructions; (ii) where the re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D13 — Part B — Article 41 review report template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review report and action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RTS1774-A41-P2-D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41(2)(d)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start and end date of the review period;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D13 — Part B — Article 41 review report template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review report and action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RTS1774-A41-P2-E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41(2)(e)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person responsible for the review;</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D13 — Part B — Article 41 review report template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review report and action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RTS1774-A41-P2-F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41(2)(f)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a summary of findings, and a self-assessment of the severity of the weaknesses, deficiencies, and gaps identified in ICT risk management framework for the review period, including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D13 — Part B — Article 41 review report template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review report and action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RTS1774-A41-P2-G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RTS1774 Article 41(2)(g)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remedying measures identified to address weaknesses, deficiencies, and gaps in the simplified ICT risk management framework, and the expected date for implementing those measures,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D13 — Part B — Article 41 review report template</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Approved review report and action plan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RTS1774-A41-P2-H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RTS1774 Article 41(2)(h)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overall conclusions on the review of the simplified ICT risk management framework, including any further planned developments.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D13 — Part B — Article 41 review report template</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Approved review report and action plan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RTS301-A01-Part_1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1(art_1)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shall include in the initial notification, the intermediate report, and the final report, as referred to in Article 19(4) of Regulation (EU) 2022/2554, the follo</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RTS301-A01-Part_1-A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1(art_1)(a)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type of submission (initial notification, intermediate report, or final report);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RTS301-A01-Part_1-B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1(art_1)(b)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name of the financial entity, its LEI code, and the type of financial entity, as referred to in Article 2(1) of Regulation (EU) 2022/2554;</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RTS301-A01-Part_1-C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1(art_1)(c)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name and identification code of the entity that submits the initial notification, or intermediate or final report, for the financial entity;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RTS301-A01-Part_1-D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1(art_1)(d)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applicable, the names and LEI codes of all financial entities covered in the aggregated initial notification or intermediate or final report;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RTS301-A01-Part_1-E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1(art_1)(e)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contact details of the persons responsible for communicating with the competent authority on the major ICT-related incident;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RTS301-A01-Part_1-F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1(art_1)(f)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applicable, the identification of the parent undertaking of the group to which the financial entity belongs;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RTS301-A01-Part_1-G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1(art_1)(g)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there is monetary impact, the currency the amounts are based on.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RTS301-A02-Part_2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2(art_2)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Initial notifications as referred to in Article 19(4), point (a), of Regulation (EU) 2022/2554 shall contain at least all of the following specific information: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RTS301-A02-Part_2-A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2(art_2)(a)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incident reference code assigned by the financial entity;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RTS301-A02-Part_2-B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2(art_2)(b)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date of detection, time of detection, and classification of the incident pursuant to Article 8 of Commission Delegated Regulation (EU) 2024/1772 ( 7 )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RTS301-A02-Part_2-C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2(art_2)(c)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description of the ICT-related incident;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RTS301-A02-Part_2-D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2(art_2)(d)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criteria, laid down in Articles 1 to 8 of Delegated Regulation (EU) 2024/1772, on the basis of which the financial entity classified the ICT-related incident as major;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RTS301-A02-Part_2-E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2(art_2)(e)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Members States that are impacted by the ICT-related incident;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RTS301-A02-Part_2-F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2(art_2)(f)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information on how the ICT-related incident was discovered;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RTS301-A02-Part_2-G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2(art_2)(g)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available, information about the origin of the ICT-related incident;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RTS301-A02-Part_2-H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2(art_2)(h)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information about whether the financial entity has activated a business continuity plan;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RTS301-A02-Part_2-I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2(art_2)(i)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applicable, information about the reclassification of the ICT-related incident from major to non-major;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RTS301-A02-Part_2-J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2(art_2)(j)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available, any other relevant information.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RTS301-A03-Part_3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3(art_3)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Intermediate reports as referred to in Article 19(4), point (b), of Regulation (EU) 2022/2554 shall contain at least all of the following specific information: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RTS301-A03-Part_3-A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3(art_3)(a)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applicable, the incident reference code provided by the competent authority;</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RTS301-A03-Part_3-B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3(art_3)(b)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date and time of occurrence of the ICT-related incident;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RTS301-A03-Part_3-C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3(art_3)(c)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applicable, the date and time when the financial entity has recovered its regular activities;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RTS301-A03-Part_3-D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3(art_3)(d)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information about how the criteria laid down in Articles 1 to 8 of Delegated Regulation (EU) 2024/1772 have been fulfilled, on the basis of which the financial entity classified th</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RTS301-A03-Part_3-E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3(art_3)(e)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type of ICT-related incident;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RTS301-A03-Part_3-F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3(art_3)(f)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applicable, the threats and techniques used by the threat actor;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RTS301-A03-Part_3-G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3(art_3)(g)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affected functional areas and business processes;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RTS301-A03-Part_3-H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3(art_3)(h)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affected infrastructure components supporting business processes;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RTS301-A03-Part_3-I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3(art_3)(i)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impact on the financial interest of clients;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RTS301-A03-Part_3-J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3(art_3)(j)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information about reporting about the ICT-related incident to other authorities;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RTS301-A03-Part_3-K</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3(art_3)(k)</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temporary actions or measures taken or planned to be taken by the financial entity to recover from the ICT-related incident;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RTS301-A03-Part_3-L</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3(art_3)(l)</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applicable, information on indicators of compromise.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RTS301-A04-Part_4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4(art_4)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Final reports as referred to in Article 19(4), point (c), of Regulation (EU) 2022/2554 shall contain all of the following specific information: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RTS301-A04-Part_4-A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4(art_4)(a)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information about the root causes of the ICT-related incident;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RTS301-A04-Part_4-B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4(art_4)(b)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dates and times when the ICT-related incident was resolved and the root cause(s) addressed;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RTS301-A04-Part_4-C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4(art_4)(c)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information on the resolution of the ICT-related incident;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RTS301-A04-Part_4-D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4(art_4)(d)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applicable, information relevant for resolution authorities;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RTS301-A04-Part_4-E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4(art_4)(e)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information about direct and indirect costs and losses stemming from the ICT-related incident and information about financial recoveries;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RTS301-A04-Part_4-F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4(art_4)(f)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applicable, information about recurring ICT-related incidents.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RTS301-A05-P1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5(1)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submit the initial notification and the intermediate and final reports as referred to in Article 19(4), points (a), (b) and (c), of Regulation (EU) 2022/25</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RTS301-A05-P1-A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5(1)(a)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for the initial report: as early as possible, but in any case, within four hours from the classification of the ICT-related incident as a major ICT-related incident and no later th</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RTS301-A05-P1-B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5(1)(b)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for the intermediate report: at the latest within 72 hours from the submission of the initial notification, even where the status or the handling of the incident have not changed a</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RTS301-A05-P1-C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5(1)(c)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for the final report: no later than one month after either the submission of the intermediate report, or, where applicable, after the latest updated intermediate report.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RTS301-A05-P2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5(2)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the financial entity has not classified an ICT-related incident as major within 24 hours from the moment the financial entity has become aware of the ITC-related incident but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RTS301-A05-P3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5(3)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that are unable to submit the initial notification, intermediate report, or final report within the time limits set out in paragraph 1, shall inform the competen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RTS301-A05-P4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5(4)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the time limit for the submission of an initial notification, intermediate report, or a final report falls on a weekend day or a bank holiday in the Member State of the repor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RTS301-A05-P5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5(5)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Paragraph 4 shall not apply for the submission of an initial notification or an intermediate report by credit institutions, central counterparties, operators of trading venues, and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RTS301-A05-P6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5(6)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Competent authorities may decide that paragraph 4 shall not apply for the submission of an initial notification or an intermediate report by financial entities, other than those re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RTS301-A06-Part_6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6(art_6)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content of the voluntary notification in relation to significant cyber threats as referred to in Article 19(2) of Regulation (EU) 2022/2554 shall cover all of the following:</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RTS301-A06-Part_6-A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6(art_6)(a)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general information about the notifying financial entity as set out in Article 1;</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RTS301-A06-Part_6-B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6(art_6)(b)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date and time of detection of the significant cyber threat and any other relevant timestamps related to the significant cyber threat;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RTS301-A06-Part_6-C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6(art_6)(c)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description of the significant cyber threat;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RTS301-A06-Part_6-D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6(art_6)(d)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information about the potential impact of the significant cyber threat on the financial entity, its clients, or financial counterparts;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RTS301-A06-Part_6-E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6(art_6)(e)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classification criteria that would have triggered a major incident report laid down in Articles 1 to 8 of Delegated Regulation (EU) 2024/1772 if the cyber threat had materialis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RTS301-A06-Part_6-F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6(art_6)(f)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information about the status of the significant cyber threat and any changes in the threat activity;</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RTS301-A06-Part_6-G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6(art_6)(g)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applicable, a description of the actions taken by the financial entity to prevent the materialisation of the significant cyber threats;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RTS301-A06-Part_6-H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6(art_6)(h)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information about any notification of the significant cyber threat to other financial entities or authorities;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RTS301-A06-Part_6-I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RTS301 Article 6(art_6)(i)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applicable, information on indicators of compromise;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RTS301-A06-Part_6-J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RTS301 Article 6(art_6)(j)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Optional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available, any other relevant information.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D06 — Sections 7–8 and Annex B — Regulatory Reporting Pack and Submission Runbook</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Completed reporting schedules, reviewed submission, portal receipt, acknowledgement and follow-up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RTS532-A01-Part_1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1(art_1)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Financial entities shall take into account their size and their overall risk profile and the nature, scale, and elements of increased or reduced complexity of their services, activ</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RTS532-A01-Part_1-A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1(art_1)(a)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type of ICT services that support critical or important functions covered by the contractual arrangement between the financial entity and the ICT third-party service provider;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RTS532-A01-Part_1-B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1(art_1)(b)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type of ICT services covered by the contractual arrangement between the ICT-third party service provider and its subcontractors;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RTS532-A01-Part_1-C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1(art_1)(c)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location of the ICT subcontractor providing ICT services that support critical or important functions or a material part thereof, or of its parent company;</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RTS532-A01-Part_1-D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1(art_1)(d)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length and complexity of the chain of subcontractors providing ICT services that support critical or important functions or material parts thereof used by the ICT third-party 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RTS532-A01-Part_1-E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1(art_1)(e)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nature of the data shared with the ICT subcontractors providing ICT services that support critical or important functions or material parts thereof;</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RTS532-A01-Part_1-F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1(art_1)(f)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whether the ICT services that support critical or important functions or material parts thereof are provided by subcontractors, located within a Member State or in a third country,</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RTS532-A01-Part_1-G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1(art_1)(g)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whether the ICT subcontractors providing ICT services that support critical or important functions or material parts thereof are part of the same group as the financial entity to w</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RTS532-A01-Part_1-H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1(art_1)(h)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whether the ICT subcontractors providing ICT services that support critical or important functions or material parts thereof are authorised, registered or subject to supervision or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RTS532-A01-Part_1-I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1(art_1)(i)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whether the ICT third-party service providers that support critical or important functions or material parts thereof are authorised, registered or subject to supervision or oversig</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RTS532-A01-Part_1-J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1(art_1)(j)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whether the provision of ICT services supporting critical or important functions or material parts thereof is concentrated to a single subcontractor of an ICT third-party service p</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RTS532-A01-Part_1-K</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1(art_1)(k)</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whether the subcontracting of ICT services that support critical or important functions or material parts would impact the transferability of those ICT services to another ICT thir</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RTS532-A01-Part_1-L</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1(art_1)(l)</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potential impact of disruptions on the continuity and availability of the ICT services that support critical or important functions or material parts thereof provided by the IC</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RTS532-A02-Part_2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2(art_2)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Conditional</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Where this Regulation applies on a sub-consolidated or consolidated basis, the parent undertaking that is responsible for providing the consolidated or sub-consolidated financial 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RTS532-A03-P1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3(1)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A financial entity shall, before entering into a contractual arrangement with an ICT third-party service provider, decide whether that ICT third-party service provider may subcontr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RTS532-A03-P1-A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3(1)(a)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due diligence processes on the ICT third-party service provider ensure that it is able to select and assess the operational and financial abilities of potential ICT subcontract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RTS532-A03-P1-B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3(1)(b)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ICT third-party service provider is able to identify all subcontractors that provide ICT services that support critical or important functions or material parts thereof, to not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RTS532-A03-P1-C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3(1)(c)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ICT third-party service provider ensures that the contractual arrangements with the subcontractors that provide ICT services that support critical or important functions or mat</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RTS532-A03-P1-D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3(1)(d)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 xml:space="preserve">the subcontractor grants the financial entity and competent and resolution authorities the same contractual rights of access and inspection as those granted by the ICT third-party </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RTS532-A03-P1-E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3(1)(e)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without prejudice to the financial entity’s final responsibility to comply with its legal and regulatory obligations, the ICT third-party service provider itself has sufficient abi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RTS532-A03-P1-F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3(1)(f)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entity has sufficient abilities, expertise, and adequate financial, human and technical resources to monitor the ICT risks relating to the service supporting critical</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RTS532-A03-P1-G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3(1)(g)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entity has assessed the impact on the financial entity’s digital operational resilience and financial soundness of a possible failure of a subcontractor that provides</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RTS532-A03-P1-H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3(1)(h)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entity has assessed the risks associated with the location of the potential subcontractors in relation to the ICT services that support critical or important function</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RTS532-A03-P1-I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3(1)(i)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entity has assessed the ICT concentration risks at entity level in accordance with Article 29 of Regulation (EU) 2022/2554;</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RTS532-A03-P1-J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3(1)(j)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entity has assessed whether there are any obstacles to the exercise of audit, inspection and access rights by the competent authorities, resolution authorities, or th</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RTS532-A03-P2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3(2)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Financial entities that use ICT third-party service providers that subcontract ICT services that support critical or important functions or material parts thereof shall periodicall</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RTS532-A03-P3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3(3)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Reliance on the results of the risk assessment carried out by their ICT third-party service providers on their subcontractors in complying with the obligations set out in this arti</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RTS532-A04-P1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4(1)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contractual arrangement concluded between the financial entity and the ICT third-party service provider shall identify which ICT services that support critical or important fun</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RTS532-A04-P1-A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4(1)(a)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that the ICT third-party service provider is responsible for the provision of the services provided by the subcontractors;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RTS532-A04-P1-B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4(1)(b)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that the ICT third-party service provider is required to monitor all subcontracted ICT services that support critical or important functions or material parts thereof to ensure tha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RTS532-A04-P1-C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4(1)(c)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monitoring and reporting obligations of the ICT third-party service provider towards the financial entity regarding subcontractors that provide ICT services that support critic</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RTS532-A04-P1-D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4(1)(d)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that the ICT third-party service provider is to assess all risks associated with the location of the current or potential subcontractors that provide ICT service that support criti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RTS532-A04-P1-E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4(1)(e)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location of data processed or stored by the subcontractor, where relevant;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RTS532-A04-P1-F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4(1)(f)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that the ICT third-party service provider is to specify in its contract with its subcontractors the monitoring and reporting obligations of that subcontractor towards the ICT third</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RTS532-A04-P1-G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4(1)(g)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that the ICT third-party service provider is to ensure the continuity of the ICT services that support critical or important functions throughout the chain of subcontractors in cas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RTS532-A04-P1-H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4(1)(h)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that the contractual arrangement between the ICT third-party service provider and its subcontractors contains the requirements on business contingency plans referred to in Article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RTS532-A04-P1-I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4(1)(i)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that the contractual arrangement between the ICT third-party service provider and its subcontractors specifies the ICT security standards and any additional security requirements r</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RTS532-A04-P1-J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4(1)(j)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that the subcontractor is to grant to the financial entity and relevant competent and resolution authorities the same rights of access, inspection, and audit as those referred to i</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RTS532-A04-P1-K</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4(1)(k)</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that the ICT third-party service provider is to notify the financial entity of any material change to subcontracting arrangements;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RTS532-A04-P1-L</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4(1)(l)</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that the financial entity has the right to terminate the contract with the ICT third-party service provider when the conditions laid down in either Article 6 of this Regulation or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RTS532-A04-P2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4(2)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Changes relative to contractual agreements between the financial entity and ICT third-party service providers that provide an ICT service supporting critical or important functions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RTS532-A05-P1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5(1)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contractual arrangement shall provide that the ICT third-party service provider shall inform the financial entity about any intended material changes to its subcontracting arra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RTS532-A05-P1-A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5(1)(a)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impact on the risks it is or might be exposed to;</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RTS532-A05-P1-B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5(1)(b)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whether such material changes might affect the ability of the ICT third-party service provider to meet its contractual obligations vis-a-vis the financial entity.</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RTS532-A05-P2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5(2)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contractual arrangement shall contain a reasonable notice period by which the financial entity is to approve or object to the changes.</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RTS532-A05-P3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5(3)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 xml:space="preserve">The ICT third-party service provider shall only implement the material changes to its subcontracting arrangements after the financial entity has either approved or not objected to </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RTS532-A05-P4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5(4)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Where the financial entity is of the opinion that the material changes referred to in paragraph 1 exceed the financial entity’s risk tolerance, the financial entity shall, before t</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RTS532-A05-P4-A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5(4)(a)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inform the ICT third-party service provider thereof;</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RTS532-A05-P4-B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5(4)(b)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object to the changes and request modifications to those changes before they are implemented.</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RTS532-A06-Part_6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6(art_6)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financial entity shall have the right to provide in the contractual arrangement with the ICT third-party service provider that the contractual arrangement is to terminate in ea</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RTS532-A06-Part_6-A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6(art_6)(a)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financial entity has objected to material changes to the subcontracting arrangements supporting critical or important functions and requested for modifications to those arrange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val="0"/>
                <w:color w:val="1F2937"/>
                <w:sz w:val="12"/>
              </w:rPr>
              <w:t>RTS532-A06-Part_6-B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RTS532 Article 6(art_6)(b)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tcPr>
          <w:p>
            <w:pPr>
              <w:widowControl/>
              <w:spacing w:after="0"/>
            </w:pPr>
            <w:r>
              <w:rPr>
                <w:rFonts w:ascii="Calibri" w:hAnsi="Calibri"/>
                <w:b w:val="0"/>
                <w:color w:val="1F2937"/>
                <w:sz w:val="12"/>
              </w:rPr>
              <w:t>the ICT third-party service provider has implemented material changes to subcontracting arrangements supporting critical or important functions or material parts thereof before the</w:t>
            </w:r>
          </w:p>
        </w:tc>
        <w:tc>
          <w:tcPr>
            <w:tcW w:type="dxa" w:w="3528"/>
            <w:tcMar>
              <w:top w:w="80" w:type="dxa"/>
              <w:start w:w="110" w:type="dxa"/>
              <w:bottom w:w="80" w:type="dxa"/>
              <w:end w:w="110" w:type="dxa"/>
            </w:tcMar>
            <w:vAlign w:val="center"/>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tcPr>
          <w:p>
            <w:pPr>
              <w:keepLines/>
              <w:widowControl/>
              <w:spacing w:after="0"/>
            </w:pPr>
            <w:r>
              <w:rPr>
                <w:rFonts w:ascii="Calibri" w:hAnsi="Calibri"/>
                <w:b w:val="0"/>
                <w:color w:val="1F2937"/>
                <w:sz w:val="12"/>
              </w:rPr>
              <w:t>Subcontractor due diligence, supply-chain mapping, notices and termination/exit record</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RTS532-A06-Part_6-C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RTS532 Article 6(art_6)(c)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2"/>
              </w:rPr>
              <w:t>Applicable</w:t>
            </w:r>
          </w:p>
        </w:tc>
        <w:tc>
          <w:tcPr>
            <w:tcW w:type="dxa" w:w="3816"/>
            <w:tcMar>
              <w:top w:w="80" w:type="dxa"/>
              <w:start w:w="110" w:type="dxa"/>
              <w:bottom w:w="80" w:type="dxa"/>
              <w:end w:w="110" w:type="dxa"/>
            </w:tcMar>
            <w:vAlign w:val="center"/>
            <w:shd w:fill="F8FAFC"/>
          </w:tcPr>
          <w:p>
            <w:pPr>
              <w:widowControl/>
              <w:spacing w:after="0"/>
            </w:pPr>
            <w:r>
              <w:rPr>
                <w:rFonts w:ascii="Calibri" w:hAnsi="Calibri"/>
                <w:b w:val="0"/>
                <w:color w:val="1F2937"/>
                <w:sz w:val="12"/>
              </w:rPr>
              <w:t>the ICT third-party service provider subcontracts an ICT service that supports a critical or important function or material part thereof not explicitly permitted to be subcontracte</w:t>
            </w:r>
          </w:p>
        </w:tc>
        <w:tc>
          <w:tcPr>
            <w:tcW w:type="dxa" w:w="3528"/>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D11 — Part E — Subcontracting assessment and contract controls</w:t>
            </w:r>
          </w:p>
        </w:tc>
        <w:tc>
          <w:tcPr>
            <w:tcW w:type="dxa" w:w="2304"/>
            <w:tcMar>
              <w:top w:w="80" w:type="dxa"/>
              <w:start w:w="110" w:type="dxa"/>
              <w:bottom w:w="80" w:type="dxa"/>
              <w:end w:w="110" w:type="dxa"/>
            </w:tcMar>
            <w:vAlign w:val="center"/>
            <w:shd w:fill="F8FAFC"/>
          </w:tcPr>
          <w:p>
            <w:pPr>
              <w:keepLines/>
              <w:widowControl/>
              <w:spacing w:after="0"/>
            </w:pPr>
            <w:r>
              <w:rPr>
                <w:rFonts w:ascii="Calibri" w:hAnsi="Calibri"/>
                <w:b w:val="0"/>
                <w:color w:val="1F2937"/>
                <w:sz w:val="12"/>
              </w:rPr>
              <w:t>Subcontractor due diligence, supply-chain mapping, notices and termination/exit record</w:t>
            </w:r>
          </w:p>
        </w:tc>
      </w:tr>
    </w:tbl>
    <w:p>
      <w:pPr>
        <w:widowControl/>
        <w:spacing w:after="0"/>
      </w:pPr>
    </w:p>
    <w:p>
      <w:pPr>
        <w:pStyle w:val="Heading1"/>
        <w:widowControl/>
      </w:pPr>
      <w:r>
        <w:t>Appendix B — Applicability conclusions requiring confirmation</w:t>
      </w:r>
    </w:p>
    <w:tbl>
      <w:tblPr>
        <w:tblStyle w:val="TableGrid"/>
        <w:tblW w:type="auto" w:w="0"/>
        <w:jc w:val="center"/>
        <w:tblLayout w:type="fixed"/>
        <w:tblLook w:firstColumn="1" w:firstRow="1" w:lastColumn="0" w:lastRow="0" w:noHBand="0" w:noVBand="1" w:val="04A0"/>
      </w:tblPr>
      <w:tblGrid>
        <w:gridCol w:w="1512"/>
        <w:gridCol w:w="1944"/>
        <w:gridCol w:w="2376"/>
        <w:gridCol w:w="9432"/>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3"/>
              </w:rPr>
              <w:t>ID</w:t>
            </w:r>
          </w:p>
        </w:tc>
        <w:tc>
          <w:tcPr>
            <w:tcW w:type="dxa" w:w="1944"/>
            <w:shd w:fill="17365D"/>
            <w:tcMar>
              <w:top w:w="80" w:type="dxa"/>
              <w:start w:w="110" w:type="dxa"/>
              <w:bottom w:w="80" w:type="dxa"/>
              <w:end w:w="110" w:type="dxa"/>
            </w:tcMar>
            <w:vAlign w:val="center"/>
          </w:tcPr>
          <w:p>
            <w:pPr>
              <w:widowControl/>
            </w:pPr>
            <w:r>
              <w:rPr>
                <w:rFonts w:ascii="Calibri" w:hAnsi="Calibri"/>
                <w:b/>
                <w:color w:val="FFFFFF"/>
                <w:sz w:val="13"/>
              </w:rPr>
              <w:t>Reference</w:t>
            </w:r>
          </w:p>
        </w:tc>
        <w:tc>
          <w:tcPr>
            <w:tcW w:type="dxa" w:w="2376"/>
            <w:shd w:fill="17365D"/>
            <w:tcMar>
              <w:top w:w="80" w:type="dxa"/>
              <w:start w:w="110" w:type="dxa"/>
              <w:bottom w:w="80" w:type="dxa"/>
              <w:end w:w="110" w:type="dxa"/>
            </w:tcMar>
            <w:vAlign w:val="center"/>
          </w:tcPr>
          <w:p>
            <w:pPr>
              <w:widowControl/>
            </w:pPr>
            <w:r>
              <w:rPr>
                <w:rFonts w:ascii="Calibri" w:hAnsi="Calibri"/>
                <w:b/>
                <w:color w:val="FFFFFF"/>
                <w:sz w:val="13"/>
              </w:rPr>
              <w:t>Status</w:t>
            </w:r>
          </w:p>
        </w:tc>
        <w:tc>
          <w:tcPr>
            <w:tcW w:type="dxa" w:w="9432"/>
            <w:shd w:fill="17365D"/>
            <w:tcMar>
              <w:top w:w="80" w:type="dxa"/>
              <w:start w:w="110" w:type="dxa"/>
              <w:bottom w:w="80" w:type="dxa"/>
              <w:end w:w="110" w:type="dxa"/>
            </w:tcMar>
            <w:vAlign w:val="center"/>
          </w:tcPr>
          <w:p>
            <w:pPr>
              <w:widowControl/>
            </w:pPr>
            <w:r>
              <w:rPr>
                <w:rFonts w:ascii="Calibri" w:hAnsi="Calibri"/>
                <w:b/>
                <w:color w:val="FFFFFF"/>
                <w:sz w:val="13"/>
              </w:rPr>
              <w:t>Rationale / open point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DORA-A19-P5</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19(5)</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Voluntary notification of significant cyber threats.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DORA-A20-Part_20</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20(art_20)</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DORA-A20-Part_20-2</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20(art_20)</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DORA-A20-Part_20-3</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20(art_20)</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DORA-A20-Part_20-4</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20(art_20)</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DORA-A20-Part_20-A</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20(art_20)(a)</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DORA-A20-Part_20-B</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20(art_20)(b)</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DORA-A21-P1</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21(1)</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DORA-A21-P2</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21(2)</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DORA-A21-P2-A</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21(2)(a)</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DORA-A21-P2-B</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21(2)(b)</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DORA-A21-P2-C</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21(2)(c)</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DORA-A21-P2-D</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21(2)(d)</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DORA-A21-P2-E</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21(2)(e)</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DORA-A21-P2-F</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21(2)(f)</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DORA-A21-P2-G</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21(2)(g)</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DORA-A21-P3</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21(3)</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DORA-A22-P1</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22(1)</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DORA-A22-P2</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22(2)</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DORA-A22-P2-3</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22(2)</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Provision primarily directs the ESAs or competent authorities; reflected only as context.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DORA-A23-Part_23</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23(art_23)</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Relevant only to operational or security payment-related incidents where the firm provides payment services.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DORA-A26-P10</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26(10)</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DORA-A26-P11-22</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26(11)</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DORA-A26-P11-23</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DORA-A26-P11-24</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26(11)</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DORA-A26-P11-A</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26(11)(a)</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DORA-A26-P11-B</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26(11)(b)</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DORA-A26-P11-C</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26(11)(c)</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DORA-A26-P11-D</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26(11)(d)</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DORA-A26-P2</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26(2)</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DORA-A26-P2-3</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26(2)</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DORA-A26-P2-4</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26(2)</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DORA-A26-P3</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26(3)</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DORA-A26-P4</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26(4)</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DORA-A26-P4-7</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26(4)</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DORA-A26-P4-8</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26(4)</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DORA-A26-P5</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26(5)</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DORA-A26-P6</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26(6)</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DORA-A26-P7</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26(7)</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DORA-A26-P7-12</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26(7)</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DORA-A26-P8</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26(8)</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DORA-A26-P8-14</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26(8)</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DORA-A26-P8-15</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26(8)</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DORA-A26-P8-A</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26(8)(a)</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DORA-A26-P8-B</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26(8)(b)</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DORA-A26-P8-C</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26(8)(c)</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DORA-A26-P9</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26(9)</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DORA-A27-P1</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27(1)</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DORA-A27-P1-A</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27(1)(a)</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DORA-A27-P1-B</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27(1)(b)</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DORA-A27-P1-C</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27(1)(c)</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DORA-A27-P1-D</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27(1)(d)</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DORA-A27-P1-E</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27(1)(e)</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DORA-A27-P2</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27(2)</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DORA-A27-P2-A</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27(2)(a)</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DORA-A27-P2-B</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27(2)(b)</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DORA-A27-P2-C</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27(2)(c)</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DORA-A27-P3</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27(3)</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Applies only if the firm is identified or otherwise required to perform TLPT; designation is not assumed for an SNI firm. Confirm entity facts and operating model; tailor implementation and evidence.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DORA-A28-P2</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28(2)</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Article 28(2) expressly excludes entities referred to in Article 16(1), first subparagraph, from the formal strategy/policy requirement.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DORA-A45-P1</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45(1)</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Participation in cyber-threat information-sharing arrangements is voluntary, subject to conditions and notification.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DORA-A45-P1-A</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45(1)(a)</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Participation in cyber-threat information-sharing arrangements is voluntary, subject to conditions and notification.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DORA-A45-P1-B</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45(1)(b)</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Participation in cyber-threat information-sharing arrangements is voluntary, subject to conditions and notification.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DORA-A45-P1-C</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45(1)(c)</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Participation in cyber-threat information-sharing arrangements is voluntary, subject to conditions and notification.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DORA-A45-P2</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45(2)</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Participation in cyber-threat information-sharing arrangements is voluntary, subject to conditions and notification.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DORA-A45-P3</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DORA Article 45(3)</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Participation in cyber-threat information-sharing arrangements is voluntary, subject to conditions and notification.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ITS302-A08-P1</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8(1)</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ITS302-A08-P2</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ITS302 Article 8(2)</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RTS1190-A10</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10</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RTS1190-A11</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RTS1190 Article 11</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RTS1190-A12</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12</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RTS1190-A13</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RTS1190 Article 13</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RTS1190-A14</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14</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RTS1190-A15</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RTS1190 Article 15</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RTS1190-A16</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16</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RTS1190-A02</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RTS1190 Article 2</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RTS1190-A03</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3</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RTS1190-A04</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RTS1190 Article 4</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RTS1190-A05</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5</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RTS1190-A06</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RTS1190 Article 6</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RTS1190-A07</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7</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RTS1190-A08</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RTS1190 Article 8</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RTS1190-A09</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9</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Only activated if the firm is identified or required to perform TLPT. The baseline assumption is that no designation has been made.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RTS1773-A01</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RTS1773 Article 1</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This RTS specifies the Article 28(2) formal policy requirement, which excludes Article 16(1) SNI entities; analogous controls are retained proportionately in D09 as implementation guidance.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RTS1773-A10</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10</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This RTS specifies the Article 28(2) formal policy requirement, which excludes Article 16(1) SNI entities; analogous controls are retained proportionately in D09 as implementation guidance.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RTS1773-A02</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RTS1773 Article 2</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This RTS specifies the Article 28(2) formal policy requirement, which excludes Article 16(1) SNI entities; analogous controls are retained proportionately in D09 as implementation guidance.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RTS1773-A03</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3</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This RTS specifies the Article 28(2) formal policy requirement, which excludes Article 16(1) SNI entities; analogous controls are retained proportionately in D09 as implementation guidance.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RTS1773-A04</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RTS1773 Article 4</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This RTS specifies the Article 28(2) formal policy requirement, which excludes Article 16(1) SNI entities; analogous controls are retained proportionately in D09 as implementation guidance.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RTS1773-A05</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5</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This RTS specifies the Article 28(2) formal policy requirement, which excludes Article 16(1) SNI entities; analogous controls are retained proportionately in D09 as implementation guidance.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RTS1773-A06</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RTS1773 Article 6</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This RTS specifies the Article 28(2) formal policy requirement, which excludes Article 16(1) SNI entities; analogous controls are retained proportionately in D09 as implementation guidance.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RTS1773-A07</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7</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This RTS specifies the Article 28(2) formal policy requirement, which excludes Article 16(1) SNI entities; analogous controls are retained proportionately in D09 as implementation guidance.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RTS1773-A08</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RTS1773 Article 8</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This RTS specifies the Article 28(2) formal policy requirement, which excludes Article 16(1) SNI entities; analogous controls are retained proportionately in D09 as implementation guidance.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RTS1773-A09</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RTS1773 Article 9</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Not applicable — SNI carve-out</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This RTS specifies the Article 28(2) formal policy requirement, which excludes Article 16(1) SNI entities; analogous controls are retained proportionately in D09 as implementation guidance.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RTS301 Article 6(art_6)</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RTS301-A06-Part_6-A</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6(art_6)(a)</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RTS301-A06-Part_6-B</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RTS301 Article 6(art_6)(b)</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RTS301-A06-Part_6-C</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6(art_6)(c)</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RTS301-A06-Part_6-D</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RTS301 Article 6(art_6)(d)</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RTS301-A06-Part_6-E</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6(art_6)(e)</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RTS301-A06-Part_6-F</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RTS301 Article 6(art_6)(f)</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RTS301-A06-Part_6-G</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6(art_6)(g)</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RTS301-A06-Part_6-H</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RTS301 Article 6(art_6)(h)</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RTS301-A06-Part_6-I</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6(art_6)(i)</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RTS301-A06-Part_6-J</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3"/>
              </w:rPr>
              <w:t>RTS301 Article 6(art_6)(j)</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9432"/>
            <w:tcMar>
              <w:top w:w="80" w:type="dxa"/>
              <w:start w:w="110" w:type="dxa"/>
              <w:bottom w:w="80" w:type="dxa"/>
              <w:end w:w="110" w:type="dxa"/>
            </w:tcMar>
            <w:vAlign w:val="center"/>
          </w:tcPr>
          <w:p>
            <w:pPr>
              <w:widowControl/>
              <w:spacing w:after="0"/>
            </w:pPr>
            <w:r>
              <w:rPr>
                <w:rFonts w:ascii="Calibri" w:hAnsi="Calibri"/>
                <w:b w:val="0"/>
                <w:color w:val="1F2937"/>
                <w:sz w:val="13"/>
              </w:rPr>
              <w:t xml:space="preserve">Applies only where the firm voluntarily notifies a significant cyber threat.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RTS532-A02-Part_2</w:t>
            </w:r>
          </w:p>
        </w:tc>
        <w:tc>
          <w:tcPr>
            <w:tcW w:type="dxa" w:w="1944"/>
            <w:tcMar>
              <w:top w:w="80" w:type="dxa"/>
              <w:start w:w="110" w:type="dxa"/>
              <w:bottom w:w="80" w:type="dxa"/>
              <w:end w:w="110" w:type="dxa"/>
            </w:tcMar>
            <w:vAlign w:val="center"/>
            <w:shd w:fill="F8FAFC"/>
          </w:tcPr>
          <w:p>
            <w:pPr>
              <w:widowControl/>
              <w:spacing w:after="0"/>
            </w:pPr>
            <w:r>
              <w:rPr>
                <w:rFonts w:ascii="Calibri" w:hAnsi="Calibri"/>
                <w:b w:val="0"/>
                <w:color w:val="1F2937"/>
                <w:sz w:val="13"/>
              </w:rPr>
              <w:t>RTS532 Article 2(art_2)</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9432"/>
            <w:tcMar>
              <w:top w:w="80" w:type="dxa"/>
              <w:start w:w="110" w:type="dxa"/>
              <w:bottom w:w="80" w:type="dxa"/>
              <w:end w:w="110" w:type="dxa"/>
            </w:tcMar>
            <w:vAlign w:val="center"/>
            <w:shd w:fill="F8FAFC"/>
          </w:tcPr>
          <w:p>
            <w:pPr>
              <w:widowControl/>
              <w:spacing w:after="0"/>
            </w:pPr>
            <w:r>
              <w:rPr>
                <w:rFonts w:ascii="Calibri" w:hAnsi="Calibri"/>
                <w:b w:val="0"/>
                <w:color w:val="1F2937"/>
                <w:sz w:val="13"/>
              </w:rPr>
              <w:t>Group-level application is relevant only where the firm belongs to a group and the arrangement is managed at group level. Confirm entity facts and operating model; tailor implementation and evidence.</w:t>
            </w:r>
          </w:p>
        </w:tc>
      </w:tr>
    </w:tbl>
    <w:p>
      <w:pPr>
        <w:widowControl/>
        <w:spacing w:after="0"/>
      </w:pPr>
    </w:p>
    <w:sectPr w:rsidR="00FC693F" w:rsidRPr="0006063C" w:rsidSect="00034616">
      <w:pgSz w:w="15840" w:h="12240" w:orient="landscape"/>
      <w:pgMar w:top="576" w:right="576" w:bottom="648" w:left="576"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68"/>
      <w:gridCol w:w="3542"/>
      <w:gridCol w:w="3168"/>
    </w:tblGrid>
    <w:tr>
      <w:tc>
        <w:tcPr>
          <w:tcW w:type="dxa" w:w="3168"/>
          <w:tcMar>
            <w:top w:w="40" w:type="dxa"/>
            <w:start w:w="0" w:type="dxa"/>
            <w:bottom w:w="0" w:type="dxa"/>
            <w:end w:w="0" w:type="dxa"/>
          </w:tcMar>
        </w:tcPr>
        <w:p>
          <w:r>
            <w:rPr>
              <w:rFonts w:ascii="Calibri" w:hAnsi="Calibri"/>
              <w:b w:val="0"/>
              <w:color w:val="667085"/>
              <w:sz w:val="15"/>
            </w:rPr>
            <w:t>[FIRM NAME]</w:t>
          </w:r>
        </w:p>
      </w:tc>
      <w:tc>
        <w:tcPr>
          <w:tcW w:type="dxa" w:w="3542"/>
          <w:tcMar>
            <w:top w:w="40" w:type="dxa"/>
            <w:start w:w="0" w:type="dxa"/>
            <w:bottom w:w="0" w:type="dxa"/>
            <w:end w:w="0" w:type="dxa"/>
          </w:tcMar>
        </w:tcPr>
        <w:p>
          <w:pPr>
            <w:jc w:val="center"/>
          </w:pPr>
          <w:r>
            <w:rPr>
              <w:rFonts w:ascii="Calibri" w:hAnsi="Calibri"/>
              <w:b w:val="0"/>
              <w:color w:val="667085"/>
              <w:sz w:val="15"/>
            </w:rPr>
            <w:t>CONFIDENTIAL — CONTROLLED TEMPLATE</w:t>
          </w:r>
        </w:p>
      </w:tc>
      <w:tc>
        <w:tcPr>
          <w:tcW w:type="dxa" w:w="3168"/>
          <w:tcMar>
            <w:top w:w="40" w:type="dxa"/>
            <w:start w:w="0" w:type="dxa"/>
            <w:bottom w:w="0" w:type="dxa"/>
            <w:end w:w="0" w:type="dxa"/>
          </w:tcMar>
        </w:tcPr>
        <w:p>
          <w:pPr>
            <w:jc w:val="right"/>
          </w:pPr>
          <w:r>
            <w:rPr>
              <w:rFonts w:ascii="Calibri" w:hAnsi="Calibri"/>
              <w:b w:val="0"/>
              <w:color w:val="667085"/>
              <w:sz w:val="15"/>
            </w:rPr>
            <w:t xml:space="preserve">Page </w:t>
          </w:r>
          <w:r>
            <w:fldChar w:fldCharType="begin"/>
            <w:instrText xml:space="preserve">PAGE</w:instrText>
            <w:fldChar w:fldCharType="end"/>
          </w:r>
          <w:r>
            <w:rPr>
              <w:rFonts w:ascii="Calibri" w:hAnsi="Calibri"/>
              <w:b w:val="0"/>
              <w:color w:val="667085"/>
              <w:sz w:val="15"/>
            </w:rPr>
            <w:t xml:space="preserve"> of </w:t>
          </w:r>
          <w:r>
            <w:fldChar w:fldCharType="begin"/>
            <w:instrText xml:space="preserve">NUMPAGES</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67085"/>
        <w:sz w:val="15"/>
      </w:rPr>
      <w:t>R00  |  DORA SNI DOCUMENTATION &amp; IMPLEMENTATION SUITE — ARCHITECTURE AND TRACEABILITY REPORT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Calibri" w:hAnsi="Calibri"/>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ind w:left="461" w:hanging="259"/>
      <w:contextualSpacing/>
    </w:pPr>
    <w:rPr>
      <w:rFonts w:ascii="Calibri" w:hAnsi="Calibri"/>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ind w:left="461" w:hanging="259"/>
      <w:contextualSpacing/>
    </w:pPr>
    <w:rPr>
      <w:rFonts w:ascii="Calibri" w:hAnsi="Calibri"/>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raftingNote">
    <w:name w:val="Drafting Note"/>
    <w:pPr>
      <w:spacing w:after="80"/>
    </w:pPr>
    <w:rPr>
      <w:rFonts w:ascii="Calibri" w:hAnsi="Calibri"/>
      <w:i/>
      <w:color w:val="667085"/>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DORA SNI Documentation &amp; Implementation Suite — Architecture and Traceability Report</dc:title>
  <dc:subject>Reusable internal template for an SNI investment firm</dc:subject>
  <dc:creator>DORA SNI Documentation &amp; Implementation Suite v1.0</dc:creator>
  <cp:keywords/>
  <dc:description>generated by python-docx</dc:description>
  <cp:lastModifiedBy/>
  <cp:revision>1</cp:revision>
  <dcterms:created xsi:type="dcterms:W3CDTF">2013-12-23T23:15:00Z</dcterms:created>
  <dcterms:modified xsi:type="dcterms:W3CDTF">2013-12-23T23:15:00Z</dcterms:modified>
  <cp:category/>
</cp:coreProperties>
</file>