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after="720"/>
      </w:pPr>
    </w:p>
    <w:p>
      <w:pPr>
        <w:widowControl/>
        <w:spacing w:after="240"/>
      </w:pPr>
      <w:r>
        <w:rPr>
          <w:rFonts w:ascii="Calibri" w:hAnsi="Calibri"/>
          <w:b/>
          <w:color w:val="0F6B78"/>
          <w:sz w:val="34"/>
        </w:rPr>
        <w:t>D13</w:t>
      </w:r>
    </w:p>
    <w:p>
      <w:pPr>
        <w:widowControl/>
        <w:spacing w:after="240" w:line="235" w:lineRule="auto"/>
      </w:pPr>
      <w:r>
        <w:rPr>
          <w:rFonts w:ascii="Calibri" w:hAnsi="Calibri"/>
          <w:b/>
          <w:color w:val="17365D"/>
          <w:sz w:val="54"/>
        </w:rPr>
        <w:t>Internal Audit &amp; Simplified Framework Review Pack</w:t>
      </w:r>
    </w:p>
    <w:p>
      <w:pPr>
        <w:widowControl/>
        <w:spacing w:after="560"/>
      </w:pPr>
      <w:r>
        <w:rPr>
          <w:rFonts w:ascii="Calibri" w:hAnsi="Calibri"/>
          <w:b/>
          <w:color w:val="FFFFFF"/>
          <w:sz w:val="20"/>
          <w:shd w:fill="0F6B78"/>
        </w:rPr>
        <w:t>INTERNAL AUDIT &amp; ARTICLE 41 REVIEW PACK</w:t>
      </w:r>
    </w:p>
    <w:tbl>
      <w:tblPr>
        <w:tblW w:type="auto" w:w="0"/>
        <w:jc w:val="left"/>
        <w:tblLayout w:type="fixed"/>
        <w:tblLook w:firstColumn="1" w:firstRow="1" w:lastColumn="0" w:lastRow="0" w:noHBand="0" w:noVBand="1" w:val="04A0"/>
      </w:tblPr>
      <w:tblGrid>
        <w:gridCol w:w="2448"/>
        <w:gridCol w:w="7430"/>
      </w:tblGrid>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ENTITY</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[ENTITY LEGAL NAME]</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OWNER</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[ROLE / FUNCTION]</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APPROVER</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[BOARD / MANAGEMENT BODY / EXECUTIVE]</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VERSION</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[1.0]</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EFFECTIVE DATE</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[DD MONTH YYYY]</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NEXT REVIEW</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[DD MONTH YYYY]</w:t>
            </w:r>
          </w:p>
        </w:tc>
      </w:tr>
    </w:tbl>
    <w:p>
      <w:pPr>
        <w:widowControl/>
        <w:spacing w:after="280"/>
      </w:pPr>
    </w:p>
    <w:tbl>
      <w:tblPr>
        <w:tblW w:type="auto" w:w="0"/>
        <w:jc w:val="center"/>
        <w:tblLayout w:type="fixed"/>
        <w:tblLook w:firstColumn="1" w:firstRow="1" w:lastColumn="0" w:lastRow="0" w:noHBand="0" w:noVBand="1" w:val="04A0"/>
      </w:tblPr>
      <w:tblGrid>
        <w:gridCol w:w="158"/>
        <w:gridCol w:w="9720"/>
      </w:tblGrid>
      <w:tr>
        <w:tc>
          <w:tcPr>
            <w:tcW w:type="dxa" w:w="158"/>
            <w:shd w:fill="9B1C1C"/>
            <w:tcMar>
              <w:top w:w="0" w:type="dxa"/>
              <w:start w:w="0" w:type="dxa"/>
              <w:bottom w:w="0" w:type="dxa"/>
              <w:end w:w="0" w:type="dxa"/>
            </w:tcMar>
            <w:vAlign w:val="center"/>
          </w:tcPr>
          <w:p>
            <w:pPr>
              <w:widowControl/>
            </w:pPr>
          </w:p>
        </w:tc>
        <w:tc>
          <w:tcPr>
            <w:tcW w:type="dxa" w:w="9720"/>
            <w:shd w:fill="FFF5F5"/>
            <w:tcMar>
              <w:top w:w="100" w:type="dxa"/>
              <w:start w:w="145" w:type="dxa"/>
              <w:bottom w:w="100" w:type="dxa"/>
              <w:end w:w="145" w:type="dxa"/>
            </w:tcMar>
            <w:vAlign w:val="center"/>
          </w:tcPr>
          <w:p>
            <w:pPr>
              <w:widowControl/>
            </w:pPr>
            <w:r>
              <w:rPr>
                <w:rFonts w:ascii="Calibri" w:hAnsi="Calibri"/>
                <w:b/>
                <w:color w:val="9B1C1C"/>
                <w:sz w:val="17"/>
              </w:rPr>
              <w:t>TEMPLATE STATUS</w:t>
            </w:r>
            <w:r>
              <w:rPr>
                <w:rFonts w:ascii="Calibri" w:hAnsi="Calibri"/>
              </w:rPr>
              <w:br/>
              <w:t>Complete and validate every yellow-bracketed field. Delete drafting notes before approval. Technical controls, inventories, provider facts, tests and audit conclusions must not be assumed or invented.</w:t>
            </w:r>
          </w:p>
        </w:tc>
      </w:tr>
    </w:tbl>
    <w:p>
      <w:pPr>
        <w:widowControl/>
        <w:spacing w:after="0"/>
      </w:pPr>
    </w:p>
    <w:p>
      <w:pPr>
        <w:widowControl/>
      </w:pPr>
      <w:r>
        <w:br w:type="page"/>
      </w:r>
    </w:p>
    <w:p>
      <w:pPr>
        <w:pStyle w:val="Heading1"/>
        <w:widowControl/>
      </w:pPr>
      <w:r>
        <w:t>Document control and approval</w:t>
      </w:r>
    </w:p>
    <w:tbl>
      <w:tblPr>
        <w:tblStyle w:val="TableGrid"/>
        <w:tblW w:type="auto" w:w="0"/>
        <w:jc w:val="center"/>
        <w:tblLayout w:type="fixed"/>
        <w:tblLook w:firstColumn="1" w:firstRow="1" w:lastColumn="0" w:lastRow="0" w:noHBand="0" w:noVBand="1" w:val="04A0"/>
      </w:tblPr>
      <w:tblGrid>
        <w:gridCol w:w="2520"/>
        <w:gridCol w:w="7358"/>
      </w:tblGrid>
      <w:tr>
        <w:trPr>
          <w:tblHeader w:val="true"/>
        </w:trPr>
        <w:tc>
          <w:tcPr>
            <w:tcW w:type="dxa" w:w="2520"/>
            <w:shd w:fill="17365D"/>
            <w:tcMar>
              <w:top w:w="80" w:type="dxa"/>
              <w:start w:w="110" w:type="dxa"/>
              <w:bottom w:w="80" w:type="dxa"/>
              <w:end w:w="110" w:type="dxa"/>
            </w:tcMar>
            <w:vAlign w:val="center"/>
          </w:tcPr>
          <w:p>
            <w:pPr>
              <w:widowControl/>
            </w:pPr>
            <w:r>
              <w:rPr>
                <w:rFonts w:ascii="Calibri" w:hAnsi="Calibri"/>
                <w:b/>
                <w:color w:val="FFFFFF"/>
                <w:sz w:val="17"/>
              </w:rPr>
              <w:t>Field</w:t>
            </w:r>
          </w:p>
        </w:tc>
        <w:tc>
          <w:tcPr>
            <w:tcW w:type="dxa" w:w="7358"/>
            <w:shd w:fill="17365D"/>
            <w:tcMar>
              <w:top w:w="80" w:type="dxa"/>
              <w:start w:w="110" w:type="dxa"/>
              <w:bottom w:w="80" w:type="dxa"/>
              <w:end w:w="110" w:type="dxa"/>
            </w:tcMar>
            <w:vAlign w:val="center"/>
          </w:tcPr>
          <w:p>
            <w:pPr>
              <w:widowControl/>
            </w:pPr>
            <w:r>
              <w:rPr>
                <w:rFonts w:ascii="Calibri" w:hAnsi="Calibri"/>
                <w:b/>
                <w:color w:val="FFFFFF"/>
                <w:sz w:val="17"/>
              </w:rPr>
              <w:t>Controlled value</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Document ID</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D13</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Document title</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Internal Audit &amp; Simplified Framework Review Pack</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Owner</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[Internal Audit / Framework Review Owner]</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Approval authority</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Management body</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Version</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[1.0]</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Effective date</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[DD MONTH YYYY]</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Review cycle</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Risk-based audit cycle; framework review periodically and on trigger</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Classification</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Confidential — Internal</w:t>
            </w:r>
          </w:p>
        </w:tc>
      </w:tr>
    </w:tbl>
    <w:p>
      <w:pPr>
        <w:widowControl/>
        <w:spacing w:after="0"/>
      </w:pPr>
    </w:p>
    <w:p>
      <w:pPr>
        <w:pStyle w:val="Heading2"/>
        <w:widowControl/>
      </w:pPr>
      <w:r>
        <w:t>Approval record</w:t>
      </w:r>
    </w:p>
    <w:tbl>
      <w:tblPr>
        <w:tblStyle w:val="TableGrid"/>
        <w:tblW w:type="auto" w:w="0"/>
        <w:jc w:val="center"/>
        <w:tblLayout w:type="fixed"/>
        <w:tblLook w:firstColumn="1" w:firstRow="1" w:lastColumn="0" w:lastRow="0" w:noHBand="0" w:noVBand="1" w:val="04A0"/>
      </w:tblPr>
      <w:tblGrid>
        <w:gridCol w:w="2880"/>
        <w:gridCol w:w="2376"/>
        <w:gridCol w:w="3024"/>
        <w:gridCol w:w="1598"/>
      </w:tblGrid>
      <w:tr>
        <w:trPr>
          <w:tblHeader w:val="true"/>
        </w:trPr>
        <w:tc>
          <w:tcPr>
            <w:tcW w:type="dxa" w:w="2880"/>
            <w:shd w:fill="17365D"/>
            <w:tcMar>
              <w:top w:w="80" w:type="dxa"/>
              <w:start w:w="110" w:type="dxa"/>
              <w:bottom w:w="80" w:type="dxa"/>
              <w:end w:w="110" w:type="dxa"/>
            </w:tcMar>
            <w:vAlign w:val="center"/>
          </w:tcPr>
          <w:p>
            <w:pPr>
              <w:widowControl/>
            </w:pPr>
            <w:r>
              <w:rPr>
                <w:rFonts w:ascii="Calibri" w:hAnsi="Calibri"/>
                <w:b/>
                <w:color w:val="FFFFFF"/>
                <w:sz w:val="16"/>
              </w:rPr>
              <w:t>Approver</w:t>
            </w:r>
          </w:p>
        </w:tc>
        <w:tc>
          <w:tcPr>
            <w:tcW w:type="dxa" w:w="2376"/>
            <w:shd w:fill="17365D"/>
            <w:tcMar>
              <w:top w:w="80" w:type="dxa"/>
              <w:start w:w="110" w:type="dxa"/>
              <w:bottom w:w="80" w:type="dxa"/>
              <w:end w:w="110" w:type="dxa"/>
            </w:tcMar>
            <w:vAlign w:val="center"/>
          </w:tcPr>
          <w:p>
            <w:pPr>
              <w:widowControl/>
            </w:pPr>
            <w:r>
              <w:rPr>
                <w:rFonts w:ascii="Calibri" w:hAnsi="Calibri"/>
                <w:b/>
                <w:color w:val="FFFFFF"/>
                <w:sz w:val="16"/>
              </w:rPr>
              <w:t>Capacity</w:t>
            </w:r>
          </w:p>
        </w:tc>
        <w:tc>
          <w:tcPr>
            <w:tcW w:type="dxa" w:w="3024"/>
            <w:shd w:fill="17365D"/>
            <w:tcMar>
              <w:top w:w="80" w:type="dxa"/>
              <w:start w:w="110" w:type="dxa"/>
              <w:bottom w:w="80" w:type="dxa"/>
              <w:end w:w="110" w:type="dxa"/>
            </w:tcMar>
            <w:vAlign w:val="center"/>
          </w:tcPr>
          <w:p>
            <w:pPr>
              <w:widowControl/>
            </w:pPr>
            <w:r>
              <w:rPr>
                <w:rFonts w:ascii="Calibri" w:hAnsi="Calibri"/>
                <w:b/>
                <w:color w:val="FFFFFF"/>
                <w:sz w:val="16"/>
              </w:rPr>
              <w:t>Decision</w:t>
            </w:r>
          </w:p>
        </w:tc>
        <w:tc>
          <w:tcPr>
            <w:tcW w:type="dxa" w:w="1598"/>
            <w:shd w:fill="17365D"/>
            <w:tcMar>
              <w:top w:w="80" w:type="dxa"/>
              <w:start w:w="110" w:type="dxa"/>
              <w:bottom w:w="80" w:type="dxa"/>
              <w:end w:w="110" w:type="dxa"/>
            </w:tcMar>
            <w:vAlign w:val="center"/>
          </w:tcPr>
          <w:p>
            <w:pPr>
              <w:widowControl/>
            </w:pPr>
            <w:r>
              <w:rPr>
                <w:rFonts w:ascii="Calibri" w:hAnsi="Calibri"/>
                <w:b/>
                <w:color w:val="FFFFFF"/>
                <w:sz w:val="16"/>
              </w:rPr>
              <w:t>Date</w:t>
            </w:r>
          </w:p>
        </w:tc>
      </w:tr>
      <w:tr>
        <w:trPr>
          <w:cantSplit/>
        </w:trPr>
        <w:tc>
          <w:tcPr>
            <w:tcW w:type="dxa" w:w="2880"/>
            <w:tcMar>
              <w:top w:w="80" w:type="dxa"/>
              <w:start w:w="110" w:type="dxa"/>
              <w:bottom w:w="80" w:type="dxa"/>
              <w:end w:w="110" w:type="dxa"/>
            </w:tcMar>
            <w:vAlign w:val="center"/>
          </w:tcPr>
          <w:p>
            <w:pPr>
              <w:widowControl/>
              <w:spacing w:after="0"/>
            </w:pPr>
            <w:r>
              <w:rPr>
                <w:rFonts w:ascii="Calibri" w:hAnsi="Calibri"/>
                <w:b w:val="0"/>
                <w:color w:val="1F2937"/>
                <w:sz w:val="16"/>
              </w:rPr>
              <w:t>[NAME]</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6"/>
              </w:rPr>
              <w:t>[ROLE]</w:t>
            </w:r>
          </w:p>
        </w:tc>
        <w:tc>
          <w:tcPr>
            <w:tcW w:type="dxa" w:w="3024"/>
            <w:tcMar>
              <w:top w:w="80" w:type="dxa"/>
              <w:start w:w="110" w:type="dxa"/>
              <w:bottom w:w="80" w:type="dxa"/>
              <w:end w:w="110" w:type="dxa"/>
            </w:tcMar>
            <w:vAlign w:val="center"/>
          </w:tcPr>
          <w:p>
            <w:pPr>
              <w:widowControl/>
              <w:spacing w:after="0"/>
            </w:pPr>
            <w:r>
              <w:rPr>
                <w:rFonts w:ascii="Calibri" w:hAnsi="Calibri"/>
                <w:b w:val="0"/>
                <w:color w:val="1F2937"/>
                <w:sz w:val="16"/>
              </w:rPr>
              <w:t>Approved / conditional</w:t>
            </w:r>
          </w:p>
        </w:tc>
        <w:tc>
          <w:tcPr>
            <w:tcW w:type="dxa" w:w="1598"/>
            <w:tcMar>
              <w:top w:w="80" w:type="dxa"/>
              <w:start w:w="110" w:type="dxa"/>
              <w:bottom w:w="80" w:type="dxa"/>
              <w:end w:w="110" w:type="dxa"/>
            </w:tcMar>
            <w:vAlign w:val="center"/>
          </w:tcPr>
          <w:p>
            <w:pPr>
              <w:widowControl/>
              <w:spacing w:after="0"/>
            </w:pPr>
            <w:r>
              <w:rPr>
                <w:rFonts w:ascii="Calibri" w:hAnsi="Calibri"/>
                <w:b w:val="0"/>
                <w:color w:val="1F2937"/>
                <w:sz w:val="16"/>
              </w:rPr>
              <w:t>[DATE]</w:t>
            </w:r>
          </w:p>
        </w:tc>
      </w:tr>
      <w:tr>
        <w:trPr>
          <w:cantSplit/>
        </w:trPr>
        <w:tc>
          <w:tcPr>
            <w:tcW w:type="dxa" w:w="2880"/>
            <w:tcMar>
              <w:top w:w="80" w:type="dxa"/>
              <w:start w:w="110" w:type="dxa"/>
              <w:bottom w:w="80" w:type="dxa"/>
              <w:end w:w="110" w:type="dxa"/>
            </w:tcMar>
            <w:vAlign w:val="center"/>
            <w:shd w:fill="F8FAFC"/>
          </w:tcPr>
          <w:p>
            <w:pPr>
              <w:widowControl/>
              <w:spacing w:after="0"/>
            </w:pPr>
            <w:r>
              <w:rPr>
                <w:rFonts w:ascii="Calibri" w:hAnsi="Calibri"/>
                <w:b w:val="0"/>
                <w:color w:val="1F2937"/>
                <w:sz w:val="16"/>
              </w:rPr>
              <w:t>[NAME]</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6"/>
              </w:rPr>
              <w:t>[ROLE]</w:t>
            </w:r>
          </w:p>
        </w:tc>
        <w:tc>
          <w:tcPr>
            <w:tcW w:type="dxa" w:w="3024"/>
            <w:tcMar>
              <w:top w:w="80" w:type="dxa"/>
              <w:start w:w="110" w:type="dxa"/>
              <w:bottom w:w="80" w:type="dxa"/>
              <w:end w:w="110" w:type="dxa"/>
            </w:tcMar>
            <w:vAlign w:val="center"/>
            <w:shd w:fill="F8FAFC"/>
          </w:tcPr>
          <w:p>
            <w:pPr>
              <w:widowControl/>
              <w:spacing w:after="0"/>
            </w:pPr>
            <w:r>
              <w:rPr>
                <w:rFonts w:ascii="Calibri" w:hAnsi="Calibri"/>
                <w:b w:val="0"/>
                <w:color w:val="1F2937"/>
                <w:sz w:val="16"/>
              </w:rPr>
              <w:t>Approved / conditional</w:t>
            </w:r>
          </w:p>
        </w:tc>
        <w:tc>
          <w:tcPr>
            <w:tcW w:type="dxa" w:w="1598"/>
            <w:tcMar>
              <w:top w:w="80" w:type="dxa"/>
              <w:start w:w="110" w:type="dxa"/>
              <w:bottom w:w="80" w:type="dxa"/>
              <w:end w:w="110" w:type="dxa"/>
            </w:tcMar>
            <w:vAlign w:val="center"/>
            <w:shd w:fill="F8FAFC"/>
          </w:tcPr>
          <w:p>
            <w:pPr>
              <w:widowControl/>
              <w:spacing w:after="0"/>
            </w:pPr>
            <w:r>
              <w:rPr>
                <w:rFonts w:ascii="Calibri" w:hAnsi="Calibri"/>
                <w:b w:val="0"/>
                <w:color w:val="1F2937"/>
                <w:sz w:val="16"/>
              </w:rPr>
              <w:t>[DATE]</w:t>
            </w:r>
          </w:p>
        </w:tc>
      </w:tr>
    </w:tbl>
    <w:p>
      <w:pPr>
        <w:widowControl/>
        <w:spacing w:after="0"/>
      </w:pPr>
    </w:p>
    <w:p>
      <w:pPr>
        <w:pStyle w:val="Heading2"/>
        <w:widowControl/>
      </w:pPr>
      <w:r>
        <w:t>Version history</w:t>
      </w:r>
    </w:p>
    <w:tbl>
      <w:tblPr>
        <w:tblStyle w:val="TableGrid"/>
        <w:tblW w:type="auto" w:w="0"/>
        <w:jc w:val="center"/>
        <w:tblLayout w:type="fixed"/>
        <w:tblLook w:firstColumn="1" w:firstRow="1" w:lastColumn="0" w:lastRow="0" w:noHBand="0" w:noVBand="1" w:val="04A0"/>
      </w:tblPr>
      <w:tblGrid>
        <w:gridCol w:w="1080"/>
        <w:gridCol w:w="1440"/>
        <w:gridCol w:w="5256"/>
        <w:gridCol w:w="2102"/>
      </w:tblGrid>
      <w:tr>
        <w:trPr>
          <w:tblHeader w:val="true"/>
        </w:trPr>
        <w:tc>
          <w:tcPr>
            <w:tcW w:type="dxa" w:w="1080"/>
            <w:shd w:fill="17365D"/>
            <w:tcMar>
              <w:top w:w="80" w:type="dxa"/>
              <w:start w:w="110" w:type="dxa"/>
              <w:bottom w:w="80" w:type="dxa"/>
              <w:end w:w="110" w:type="dxa"/>
            </w:tcMar>
            <w:vAlign w:val="center"/>
          </w:tcPr>
          <w:p>
            <w:pPr>
              <w:widowControl/>
            </w:pPr>
            <w:r>
              <w:rPr>
                <w:rFonts w:ascii="Calibri" w:hAnsi="Calibri"/>
                <w:b/>
                <w:color w:val="FFFFFF"/>
                <w:sz w:val="16"/>
              </w:rPr>
              <w:t>Version</w:t>
            </w:r>
          </w:p>
        </w:tc>
        <w:tc>
          <w:tcPr>
            <w:tcW w:type="dxa" w:w="1440"/>
            <w:shd w:fill="17365D"/>
            <w:tcMar>
              <w:top w:w="80" w:type="dxa"/>
              <w:start w:w="110" w:type="dxa"/>
              <w:bottom w:w="80" w:type="dxa"/>
              <w:end w:w="110" w:type="dxa"/>
            </w:tcMar>
            <w:vAlign w:val="center"/>
          </w:tcPr>
          <w:p>
            <w:pPr>
              <w:widowControl/>
            </w:pPr>
            <w:r>
              <w:rPr>
                <w:rFonts w:ascii="Calibri" w:hAnsi="Calibri"/>
                <w:b/>
                <w:color w:val="FFFFFF"/>
                <w:sz w:val="16"/>
              </w:rPr>
              <w:t>Date</w:t>
            </w:r>
          </w:p>
        </w:tc>
        <w:tc>
          <w:tcPr>
            <w:tcW w:type="dxa" w:w="5256"/>
            <w:shd w:fill="17365D"/>
            <w:tcMar>
              <w:top w:w="80" w:type="dxa"/>
              <w:start w:w="110" w:type="dxa"/>
              <w:bottom w:w="80" w:type="dxa"/>
              <w:end w:w="110" w:type="dxa"/>
            </w:tcMar>
            <w:vAlign w:val="center"/>
          </w:tcPr>
          <w:p>
            <w:pPr>
              <w:widowControl/>
            </w:pPr>
            <w:r>
              <w:rPr>
                <w:rFonts w:ascii="Calibri" w:hAnsi="Calibri"/>
                <w:b/>
                <w:color w:val="FFFFFF"/>
                <w:sz w:val="16"/>
              </w:rPr>
              <w:t>Change</w:t>
            </w:r>
          </w:p>
        </w:tc>
        <w:tc>
          <w:tcPr>
            <w:tcW w:type="dxa" w:w="2102"/>
            <w:shd w:fill="17365D"/>
            <w:tcMar>
              <w:top w:w="80" w:type="dxa"/>
              <w:start w:w="110" w:type="dxa"/>
              <w:bottom w:w="80" w:type="dxa"/>
              <w:end w:w="110" w:type="dxa"/>
            </w:tcMar>
            <w:vAlign w:val="center"/>
          </w:tcPr>
          <w:p>
            <w:pPr>
              <w:widowControl/>
            </w:pPr>
            <w:r>
              <w:rPr>
                <w:rFonts w:ascii="Calibri" w:hAnsi="Calibri"/>
                <w:b/>
                <w:color w:val="FFFFFF"/>
                <w:sz w:val="16"/>
              </w:rPr>
              <w:t>Author</w:t>
            </w:r>
          </w:p>
        </w:tc>
      </w:tr>
      <w:tr>
        <w:trPr>
          <w:cantSplit/>
        </w:trPr>
        <w:tc>
          <w:tcPr>
            <w:tcW w:type="dxa" w:w="1080"/>
            <w:tcMar>
              <w:top w:w="80" w:type="dxa"/>
              <w:start w:w="110" w:type="dxa"/>
              <w:bottom w:w="80" w:type="dxa"/>
              <w:end w:w="110" w:type="dxa"/>
            </w:tcMar>
            <w:vAlign w:val="center"/>
          </w:tcPr>
          <w:p>
            <w:pPr>
              <w:widowControl/>
              <w:spacing w:after="0"/>
            </w:pPr>
            <w:r>
              <w:rPr>
                <w:rFonts w:ascii="Calibri" w:hAnsi="Calibri"/>
                <w:b w:val="0"/>
                <w:color w:val="1F2937"/>
                <w:sz w:val="16"/>
              </w:rPr>
              <w:t>0.1</w:t>
            </w:r>
          </w:p>
        </w:tc>
        <w:tc>
          <w:tcPr>
            <w:tcW w:type="dxa" w:w="1440"/>
            <w:tcMar>
              <w:top w:w="80" w:type="dxa"/>
              <w:start w:w="110" w:type="dxa"/>
              <w:bottom w:w="80" w:type="dxa"/>
              <w:end w:w="110" w:type="dxa"/>
            </w:tcMar>
            <w:vAlign w:val="center"/>
          </w:tcPr>
          <w:p>
            <w:pPr>
              <w:widowControl/>
              <w:spacing w:after="0"/>
            </w:pPr>
            <w:r>
              <w:rPr>
                <w:rFonts w:ascii="Calibri" w:hAnsi="Calibri"/>
                <w:b w:val="0"/>
                <w:color w:val="1F2937"/>
                <w:sz w:val="16"/>
              </w:rPr>
              <w:t>[DATE]</w:t>
            </w:r>
          </w:p>
        </w:tc>
        <w:tc>
          <w:tcPr>
            <w:tcW w:type="dxa" w:w="5256"/>
            <w:tcMar>
              <w:top w:w="80" w:type="dxa"/>
              <w:start w:w="110" w:type="dxa"/>
              <w:bottom w:w="80" w:type="dxa"/>
              <w:end w:w="110" w:type="dxa"/>
            </w:tcMar>
            <w:vAlign w:val="center"/>
          </w:tcPr>
          <w:p>
            <w:pPr>
              <w:widowControl/>
              <w:spacing w:after="0"/>
            </w:pPr>
            <w:r>
              <w:rPr>
                <w:rFonts w:ascii="Calibri" w:hAnsi="Calibri"/>
                <w:b w:val="0"/>
                <w:color w:val="1F2937"/>
                <w:sz w:val="16"/>
              </w:rPr>
              <w:t>Initial template tailoring</w:t>
            </w:r>
          </w:p>
        </w:tc>
        <w:tc>
          <w:tcPr>
            <w:tcW w:type="dxa" w:w="2102"/>
            <w:tcMar>
              <w:top w:w="80" w:type="dxa"/>
              <w:start w:w="110" w:type="dxa"/>
              <w:bottom w:w="80" w:type="dxa"/>
              <w:end w:w="110" w:type="dxa"/>
            </w:tcMar>
            <w:vAlign w:val="center"/>
          </w:tcPr>
          <w:p>
            <w:pPr>
              <w:widowControl/>
              <w:spacing w:after="0"/>
            </w:pPr>
            <w:r>
              <w:rPr>
                <w:rFonts w:ascii="Calibri" w:hAnsi="Calibri"/>
                <w:b w:val="0"/>
                <w:color w:val="1F2937"/>
                <w:sz w:val="16"/>
              </w:rPr>
              <w:t>[NAME]</w:t>
            </w:r>
          </w:p>
        </w:tc>
      </w:tr>
      <w:tr>
        <w:trPr>
          <w:cantSplit/>
        </w:trPr>
        <w:tc>
          <w:tcPr>
            <w:tcW w:type="dxa" w:w="1080"/>
            <w:tcMar>
              <w:top w:w="80" w:type="dxa"/>
              <w:start w:w="110" w:type="dxa"/>
              <w:bottom w:w="80" w:type="dxa"/>
              <w:end w:w="110" w:type="dxa"/>
            </w:tcMar>
            <w:vAlign w:val="center"/>
            <w:shd w:fill="F8FAFC"/>
          </w:tcPr>
          <w:p>
            <w:pPr>
              <w:widowControl/>
              <w:spacing w:after="0"/>
            </w:pPr>
            <w:r>
              <w:rPr>
                <w:rFonts w:ascii="Calibri" w:hAnsi="Calibri"/>
                <w:b w:val="0"/>
                <w:color w:val="1F2937"/>
                <w:sz w:val="16"/>
              </w:rPr>
              <w:t>1.0</w:t>
            </w:r>
          </w:p>
        </w:tc>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6"/>
              </w:rPr>
              <w:t>[DATE]</w:t>
            </w:r>
          </w:p>
        </w:tc>
        <w:tc>
          <w:tcPr>
            <w:tcW w:type="dxa" w:w="5256"/>
            <w:tcMar>
              <w:top w:w="80" w:type="dxa"/>
              <w:start w:w="110" w:type="dxa"/>
              <w:bottom w:w="80" w:type="dxa"/>
              <w:end w:w="110" w:type="dxa"/>
            </w:tcMar>
            <w:vAlign w:val="center"/>
            <w:shd w:fill="F8FAFC"/>
          </w:tcPr>
          <w:p>
            <w:pPr>
              <w:widowControl/>
              <w:spacing w:after="0"/>
            </w:pPr>
            <w:r>
              <w:rPr>
                <w:rFonts w:ascii="Calibri" w:hAnsi="Calibri"/>
                <w:b w:val="0"/>
                <w:color w:val="1F2937"/>
                <w:sz w:val="16"/>
              </w:rPr>
              <w:t>First approved version</w:t>
            </w:r>
          </w:p>
        </w:tc>
        <w:tc>
          <w:tcPr>
            <w:tcW w:type="dxa" w:w="2102"/>
            <w:tcMar>
              <w:top w:w="80" w:type="dxa"/>
              <w:start w:w="110" w:type="dxa"/>
              <w:bottom w:w="80" w:type="dxa"/>
              <w:end w:w="110" w:type="dxa"/>
            </w:tcMar>
            <w:vAlign w:val="center"/>
            <w:shd w:fill="F8FAFC"/>
          </w:tcPr>
          <w:p>
            <w:pPr>
              <w:widowControl/>
              <w:spacing w:after="0"/>
            </w:pPr>
            <w:r>
              <w:rPr>
                <w:rFonts w:ascii="Calibri" w:hAnsi="Calibri"/>
                <w:b w:val="0"/>
                <w:color w:val="1F2937"/>
                <w:sz w:val="16"/>
              </w:rPr>
              <w:t>[NAME]</w:t>
            </w:r>
          </w:p>
        </w:tc>
      </w:tr>
    </w:tbl>
    <w:p>
      <w:pPr>
        <w:widowControl/>
        <w:spacing w:after="0"/>
      </w:pPr>
    </w:p>
    <w:p>
      <w:pPr>
        <w:pStyle w:val="Heading1"/>
        <w:widowControl/>
      </w:pPr>
      <w:r>
        <w:t>Part A — Internal audit programme</w:t>
      </w:r>
    </w:p>
    <w:p>
      <w:pPr>
        <w:widowControl/>
      </w:pPr>
      <w:r>
        <w:t>Internal audit provides independent, risk-based assurance over the simplified ICT risk management framework. The audit plan shall reflect ICT risk, critical functions, incidents, change, providers, testing and prior findings. Auditors shall possess sufficient knowledge, skills and expertise. Where outsourced, independence, competence, scope, access and confidentiality shall be documented.</w:t>
      </w:r>
    </w:p>
    <w:tbl>
      <w:tblPr>
        <w:tblStyle w:val="TableGrid"/>
        <w:tblW w:type="auto" w:w="0"/>
        <w:jc w:val="center"/>
        <w:tblLayout w:type="fixed"/>
        <w:tblLook w:firstColumn="1" w:firstRow="1" w:lastColumn="0" w:lastRow="0" w:noHBand="0" w:noVBand="1" w:val="04A0"/>
      </w:tblPr>
      <w:tblGrid>
        <w:gridCol w:w="2520"/>
        <w:gridCol w:w="7358"/>
      </w:tblGrid>
      <w:tr>
        <w:trPr>
          <w:tblHeader w:val="true"/>
        </w:trPr>
        <w:tc>
          <w:tcPr>
            <w:tcW w:type="dxa" w:w="2520"/>
            <w:shd w:fill="17365D"/>
            <w:tcMar>
              <w:top w:w="80" w:type="dxa"/>
              <w:start w:w="110" w:type="dxa"/>
              <w:bottom w:w="80" w:type="dxa"/>
              <w:end w:w="110" w:type="dxa"/>
            </w:tcMar>
            <w:vAlign w:val="center"/>
          </w:tcPr>
          <w:p>
            <w:pPr>
              <w:widowControl/>
            </w:pPr>
            <w:r>
              <w:rPr>
                <w:rFonts w:ascii="Calibri" w:hAnsi="Calibri"/>
                <w:b/>
                <w:color w:val="FFFFFF"/>
                <w:sz w:val="16"/>
              </w:rPr>
              <w:t>Audit field</w:t>
            </w:r>
          </w:p>
        </w:tc>
        <w:tc>
          <w:tcPr>
            <w:tcW w:type="dxa" w:w="7358"/>
            <w:shd w:fill="17365D"/>
            <w:tcMar>
              <w:top w:w="80" w:type="dxa"/>
              <w:start w:w="110" w:type="dxa"/>
              <w:bottom w:w="80" w:type="dxa"/>
              <w:end w:w="110" w:type="dxa"/>
            </w:tcMar>
            <w:vAlign w:val="center"/>
          </w:tcPr>
          <w:p>
            <w:pPr>
              <w:widowControl/>
            </w:pPr>
            <w:r>
              <w:rPr>
                <w:rFonts w:ascii="Calibri" w:hAnsi="Calibri"/>
                <w:b/>
                <w:color w:val="FFFFFF"/>
                <w:sz w:val="16"/>
              </w:rPr>
              <w:t>Required entry</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6"/>
              </w:rPr>
              <w:t>Objective / scope</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6"/>
              </w:rPr>
              <w:t>[D01–D14, functions, systems, providers, period and exclusions]</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6"/>
              </w:rPr>
              <w:t>Risk basis</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6"/>
              </w:rPr>
              <w:t>[D03 / incidents / tests / changes / regulatory priorities]</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6"/>
              </w:rPr>
              <w:t>Criteria</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6"/>
              </w:rPr>
              <w:t>[REQUIREMENT IDs, approved controls and evidence]</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6"/>
              </w:rPr>
              <w:t>Auditor / independence</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6"/>
              </w:rPr>
              <w:t>[NAME / COMPETENCE / CONFLICT CHECK]</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6"/>
              </w:rPr>
              <w:t>Method</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6"/>
              </w:rPr>
              <w:t>Interviews, walkthroughs, sampling, configuration/evidence review and reperformance</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6"/>
              </w:rPr>
              <w:t>Deliverables</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6"/>
              </w:rPr>
              <w:t>Report, findings, management responses, action tracker and follow-up</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6"/>
              </w:rPr>
              <w:t>Approval / reporting</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6"/>
              </w:rPr>
              <w:t>[AUDIT COMMITTEE / BOARD / MANAGEMENT]</w:t>
            </w:r>
          </w:p>
        </w:tc>
      </w:tr>
    </w:tbl>
    <w:p>
      <w:pPr>
        <w:widowControl/>
        <w:spacing w:after="0"/>
      </w:pPr>
    </w:p>
    <w:p>
      <w:pPr>
        <w:pStyle w:val="Heading2"/>
        <w:widowControl/>
      </w:pPr>
      <w:r>
        <w:t>Minimum audit universe</w:t>
      </w:r>
    </w:p>
    <w:p>
      <w:pPr>
        <w:pStyle w:val="ListBullet"/>
        <w:widowControl/>
        <w:ind w:left="461"/>
      </w:pPr>
      <w:r>
        <w:t>Governance, proportionality, resources and reporting</w:t>
      </w:r>
    </w:p>
    <w:p>
      <w:pPr>
        <w:pStyle w:val="ListBullet"/>
        <w:widowControl/>
        <w:ind w:left="461"/>
      </w:pPr>
      <w:r>
        <w:t>Risk assessment, inventories and criticality</w:t>
      </w:r>
    </w:p>
    <w:p>
      <w:pPr>
        <w:pStyle w:val="ListBullet"/>
        <w:widowControl/>
        <w:ind w:left="461"/>
      </w:pPr>
      <w:r>
        <w:t>Information security and ICT operations</w:t>
      </w:r>
    </w:p>
    <w:p>
      <w:pPr>
        <w:pStyle w:val="ListBullet"/>
        <w:widowControl/>
        <w:ind w:left="461"/>
      </w:pPr>
      <w:r>
        <w:t>Incident management, classification and reporting</w:t>
      </w:r>
    </w:p>
    <w:p>
      <w:pPr>
        <w:pStyle w:val="ListBullet"/>
        <w:widowControl/>
        <w:ind w:left="461"/>
      </w:pPr>
      <w:r>
        <w:t>Continuity, backup, restoration and recovery</w:t>
      </w:r>
    </w:p>
    <w:p>
      <w:pPr>
        <w:pStyle w:val="ListBullet"/>
        <w:widowControl/>
        <w:ind w:left="461"/>
      </w:pPr>
      <w:r>
        <w:t>Testing programme and remediation</w:t>
      </w:r>
    </w:p>
    <w:p>
      <w:pPr>
        <w:pStyle w:val="ListBullet"/>
        <w:widowControl/>
        <w:ind w:left="461"/>
      </w:pPr>
      <w:r>
        <w:t>Third-party risk, register, contracts, concentration and exit</w:t>
      </w:r>
    </w:p>
    <w:p>
      <w:pPr>
        <w:pStyle w:val="ListBullet"/>
        <w:widowControl/>
        <w:ind w:left="461"/>
      </w:pPr>
      <w:r>
        <w:t>Training and awareness</w:t>
      </w:r>
    </w:p>
    <w:p>
      <w:pPr>
        <w:pStyle w:val="ListBullet"/>
        <w:widowControl/>
        <w:ind w:left="461"/>
      </w:pPr>
      <w:r>
        <w:t>Evidence, recordkeeping and prior remediation</w:t>
      </w:r>
    </w:p>
    <w:p>
      <w:pPr>
        <w:pStyle w:val="Heading2"/>
        <w:widowControl/>
      </w:pPr>
      <w:r>
        <w:t>Finding and rating standard</w:t>
      </w:r>
    </w:p>
    <w:tbl>
      <w:tblPr>
        <w:tblStyle w:val="TableGrid"/>
        <w:tblW w:type="auto" w:w="0"/>
        <w:jc w:val="center"/>
        <w:tblLayout w:type="fixed"/>
        <w:tblLook w:firstColumn="1" w:firstRow="1" w:lastColumn="0" w:lastRow="0" w:noHBand="0" w:noVBand="1" w:val="04A0"/>
      </w:tblPr>
      <w:tblGrid>
        <w:gridCol w:w="1296"/>
        <w:gridCol w:w="5256"/>
        <w:gridCol w:w="3326"/>
      </w:tblGrid>
      <w:tr>
        <w:trPr>
          <w:tblHeader w:val="true"/>
        </w:trPr>
        <w:tc>
          <w:tcPr>
            <w:tcW w:type="dxa" w:w="1296"/>
            <w:shd w:fill="17365D"/>
            <w:tcMar>
              <w:top w:w="80" w:type="dxa"/>
              <w:start w:w="110" w:type="dxa"/>
              <w:bottom w:w="80" w:type="dxa"/>
              <w:end w:w="110" w:type="dxa"/>
            </w:tcMar>
            <w:vAlign w:val="center"/>
          </w:tcPr>
          <w:p>
            <w:pPr>
              <w:widowControl/>
            </w:pPr>
            <w:r>
              <w:rPr>
                <w:rFonts w:ascii="Calibri" w:hAnsi="Calibri"/>
                <w:b/>
                <w:color w:val="FFFFFF"/>
                <w:sz w:val="15"/>
              </w:rPr>
              <w:t>Rating</w:t>
            </w:r>
          </w:p>
        </w:tc>
        <w:tc>
          <w:tcPr>
            <w:tcW w:type="dxa" w:w="5256"/>
            <w:shd w:fill="17365D"/>
            <w:tcMar>
              <w:top w:w="80" w:type="dxa"/>
              <w:start w:w="110" w:type="dxa"/>
              <w:bottom w:w="80" w:type="dxa"/>
              <w:end w:w="110" w:type="dxa"/>
            </w:tcMar>
            <w:vAlign w:val="center"/>
          </w:tcPr>
          <w:p>
            <w:pPr>
              <w:widowControl/>
            </w:pPr>
            <w:r>
              <w:rPr>
                <w:rFonts w:ascii="Calibri" w:hAnsi="Calibri"/>
                <w:b/>
                <w:color w:val="FFFFFF"/>
                <w:sz w:val="15"/>
              </w:rPr>
              <w:t>Meaning</w:t>
            </w:r>
          </w:p>
        </w:tc>
        <w:tc>
          <w:tcPr>
            <w:tcW w:type="dxa" w:w="3326"/>
            <w:shd w:fill="17365D"/>
            <w:tcMar>
              <w:top w:w="80" w:type="dxa"/>
              <w:start w:w="110" w:type="dxa"/>
              <w:bottom w:w="80" w:type="dxa"/>
              <w:end w:w="110" w:type="dxa"/>
            </w:tcMar>
            <w:vAlign w:val="center"/>
          </w:tcPr>
          <w:p>
            <w:pPr>
              <w:widowControl/>
            </w:pPr>
            <w:r>
              <w:rPr>
                <w:rFonts w:ascii="Calibri" w:hAnsi="Calibri"/>
                <w:b/>
                <w:color w:val="FFFFFF"/>
                <w:sz w:val="15"/>
              </w:rPr>
              <w:t>Escalation / closure</w:t>
            </w:r>
          </w:p>
        </w:tc>
      </w:tr>
      <w:tr>
        <w:trPr>
          <w:cantSplit/>
        </w:trPr>
        <w:tc>
          <w:tcPr>
            <w:tcW w:type="dxa" w:w="1296"/>
            <w:tcMar>
              <w:top w:w="80" w:type="dxa"/>
              <w:start w:w="110" w:type="dxa"/>
              <w:bottom w:w="80" w:type="dxa"/>
              <w:end w:w="110" w:type="dxa"/>
            </w:tcMar>
            <w:vAlign w:val="center"/>
          </w:tcPr>
          <w:p>
            <w:pPr>
              <w:widowControl/>
              <w:spacing w:after="0"/>
            </w:pPr>
            <w:r>
              <w:rPr>
                <w:rFonts w:ascii="Calibri" w:hAnsi="Calibri"/>
                <w:b/>
                <w:color w:val="1F4D78"/>
                <w:sz w:val="15"/>
              </w:rPr>
              <w:t>Critical</w:t>
            </w:r>
          </w:p>
        </w:tc>
        <w:tc>
          <w:tcPr>
            <w:tcW w:type="dxa" w:w="5256"/>
            <w:tcMar>
              <w:top w:w="80" w:type="dxa"/>
              <w:start w:w="110" w:type="dxa"/>
              <w:bottom w:w="80" w:type="dxa"/>
              <w:end w:w="110" w:type="dxa"/>
            </w:tcMar>
            <w:vAlign w:val="center"/>
          </w:tcPr>
          <w:p>
            <w:pPr>
              <w:widowControl/>
              <w:spacing w:after="0"/>
            </w:pPr>
            <w:r>
              <w:rPr>
                <w:rFonts w:ascii="Calibri" w:hAnsi="Calibri"/>
                <w:b w:val="0"/>
                <w:color w:val="1F2937"/>
                <w:sz w:val="15"/>
              </w:rPr>
              <w:t>Immediate severe exposure or inability to meet material obligation.</w:t>
            </w:r>
          </w:p>
        </w:tc>
        <w:tc>
          <w:tcPr>
            <w:tcW w:type="dxa" w:w="3326"/>
            <w:tcMar>
              <w:top w:w="80" w:type="dxa"/>
              <w:start w:w="110" w:type="dxa"/>
              <w:bottom w:w="80" w:type="dxa"/>
              <w:end w:w="110" w:type="dxa"/>
            </w:tcMar>
            <w:vAlign w:val="center"/>
          </w:tcPr>
          <w:p>
            <w:pPr>
              <w:widowControl/>
              <w:spacing w:after="0"/>
            </w:pPr>
            <w:r>
              <w:rPr>
                <w:rFonts w:ascii="Calibri" w:hAnsi="Calibri"/>
                <w:b w:val="0"/>
                <w:color w:val="1F2937"/>
                <w:sz w:val="15"/>
              </w:rPr>
              <w:t>Immediate board/executive escalation; containment; verified closure.</w:t>
            </w:r>
          </w:p>
        </w:tc>
      </w:tr>
      <w:tr>
        <w:trPr>
          <w:cantSplit/>
        </w:trPr>
        <w:tc>
          <w:tcPr>
            <w:tcW w:type="dxa" w:w="1296"/>
            <w:tcMar>
              <w:top w:w="80" w:type="dxa"/>
              <w:start w:w="110" w:type="dxa"/>
              <w:bottom w:w="80" w:type="dxa"/>
              <w:end w:w="110" w:type="dxa"/>
            </w:tcMar>
            <w:vAlign w:val="center"/>
            <w:shd w:fill="F8FAFC"/>
          </w:tcPr>
          <w:p>
            <w:pPr>
              <w:widowControl/>
              <w:spacing w:after="0"/>
            </w:pPr>
            <w:r>
              <w:rPr>
                <w:rFonts w:ascii="Calibri" w:hAnsi="Calibri"/>
                <w:b/>
                <w:color w:val="1F4D78"/>
                <w:sz w:val="15"/>
              </w:rPr>
              <w:t>High</w:t>
            </w:r>
          </w:p>
        </w:tc>
        <w:tc>
          <w:tcPr>
            <w:tcW w:type="dxa" w:w="5256"/>
            <w:tcMar>
              <w:top w:w="80" w:type="dxa"/>
              <w:start w:w="110" w:type="dxa"/>
              <w:bottom w:w="80" w:type="dxa"/>
              <w:end w:w="110" w:type="dxa"/>
            </w:tcMar>
            <w:vAlign w:val="center"/>
            <w:shd w:fill="F8FAFC"/>
          </w:tcPr>
          <w:p>
            <w:pPr>
              <w:widowControl/>
              <w:spacing w:after="0"/>
            </w:pPr>
            <w:r>
              <w:rPr>
                <w:rFonts w:ascii="Calibri" w:hAnsi="Calibri"/>
                <w:b w:val="0"/>
                <w:color w:val="1F2937"/>
                <w:sz w:val="15"/>
              </w:rPr>
              <w:t>Material design or operating failure likely to cause significant impact.</w:t>
            </w:r>
          </w:p>
        </w:tc>
        <w:tc>
          <w:tcPr>
            <w:tcW w:type="dxa" w:w="3326"/>
            <w:tcMar>
              <w:top w:w="80" w:type="dxa"/>
              <w:start w:w="110" w:type="dxa"/>
              <w:bottom w:w="80" w:type="dxa"/>
              <w:end w:w="110" w:type="dxa"/>
            </w:tcMar>
            <w:vAlign w:val="center"/>
            <w:shd w:fill="F8FAFC"/>
          </w:tcPr>
          <w:p>
            <w:pPr>
              <w:widowControl/>
              <w:spacing w:after="0"/>
            </w:pPr>
            <w:r>
              <w:rPr>
                <w:rFonts w:ascii="Calibri" w:hAnsi="Calibri"/>
                <w:b w:val="0"/>
                <w:color w:val="1F2937"/>
                <w:sz w:val="15"/>
              </w:rPr>
              <w:t>Management action, deadline, interim control and independent follow-up.</w:t>
            </w:r>
          </w:p>
        </w:tc>
      </w:tr>
      <w:tr>
        <w:trPr>
          <w:cantSplit/>
        </w:trPr>
        <w:tc>
          <w:tcPr>
            <w:tcW w:type="dxa" w:w="1296"/>
            <w:tcMar>
              <w:top w:w="80" w:type="dxa"/>
              <w:start w:w="110" w:type="dxa"/>
              <w:bottom w:w="80" w:type="dxa"/>
              <w:end w:w="110" w:type="dxa"/>
            </w:tcMar>
            <w:vAlign w:val="center"/>
          </w:tcPr>
          <w:p>
            <w:pPr>
              <w:widowControl/>
              <w:spacing w:after="0"/>
            </w:pPr>
            <w:r>
              <w:rPr>
                <w:rFonts w:ascii="Calibri" w:hAnsi="Calibri"/>
                <w:b/>
                <w:color w:val="1F4D78"/>
                <w:sz w:val="15"/>
              </w:rPr>
              <w:t>Medium</w:t>
            </w:r>
          </w:p>
        </w:tc>
        <w:tc>
          <w:tcPr>
            <w:tcW w:type="dxa" w:w="5256"/>
            <w:tcMar>
              <w:top w:w="80" w:type="dxa"/>
              <w:start w:w="110" w:type="dxa"/>
              <w:bottom w:w="80" w:type="dxa"/>
              <w:end w:w="110" w:type="dxa"/>
            </w:tcMar>
            <w:vAlign w:val="center"/>
          </w:tcPr>
          <w:p>
            <w:pPr>
              <w:widowControl/>
              <w:spacing w:after="0"/>
            </w:pPr>
            <w:r>
              <w:rPr>
                <w:rFonts w:ascii="Calibri" w:hAnsi="Calibri"/>
                <w:b w:val="0"/>
                <w:color w:val="1F2937"/>
                <w:sz w:val="15"/>
              </w:rPr>
              <w:t>Meaningful weakness with reduced likelihood/impact or compensation.</w:t>
            </w:r>
          </w:p>
        </w:tc>
        <w:tc>
          <w:tcPr>
            <w:tcW w:type="dxa" w:w="3326"/>
            <w:tcMar>
              <w:top w:w="80" w:type="dxa"/>
              <w:start w:w="110" w:type="dxa"/>
              <w:bottom w:w="80" w:type="dxa"/>
              <w:end w:w="110" w:type="dxa"/>
            </w:tcMar>
            <w:vAlign w:val="center"/>
          </w:tcPr>
          <w:p>
            <w:pPr>
              <w:widowControl/>
              <w:spacing w:after="0"/>
            </w:pPr>
            <w:r>
              <w:rPr>
                <w:rFonts w:ascii="Calibri" w:hAnsi="Calibri"/>
                <w:b w:val="0"/>
                <w:color w:val="1F2937"/>
                <w:sz w:val="15"/>
              </w:rPr>
              <w:t>Tracked action and evidence-based closure.</w:t>
            </w:r>
          </w:p>
        </w:tc>
      </w:tr>
      <w:tr>
        <w:trPr>
          <w:cantSplit/>
        </w:trPr>
        <w:tc>
          <w:tcPr>
            <w:tcW w:type="dxa" w:w="1296"/>
            <w:tcMar>
              <w:top w:w="80" w:type="dxa"/>
              <w:start w:w="110" w:type="dxa"/>
              <w:bottom w:w="80" w:type="dxa"/>
              <w:end w:w="110" w:type="dxa"/>
            </w:tcMar>
            <w:vAlign w:val="center"/>
            <w:shd w:fill="F8FAFC"/>
          </w:tcPr>
          <w:p>
            <w:pPr>
              <w:widowControl/>
              <w:spacing w:after="0"/>
            </w:pPr>
            <w:r>
              <w:rPr>
                <w:rFonts w:ascii="Calibri" w:hAnsi="Calibri"/>
                <w:b/>
                <w:color w:val="1F4D78"/>
                <w:sz w:val="15"/>
              </w:rPr>
              <w:t>Low</w:t>
            </w:r>
          </w:p>
        </w:tc>
        <w:tc>
          <w:tcPr>
            <w:tcW w:type="dxa" w:w="5256"/>
            <w:tcMar>
              <w:top w:w="80" w:type="dxa"/>
              <w:start w:w="110" w:type="dxa"/>
              <w:bottom w:w="80" w:type="dxa"/>
              <w:end w:w="110" w:type="dxa"/>
            </w:tcMar>
            <w:vAlign w:val="center"/>
            <w:shd w:fill="F8FAFC"/>
          </w:tcPr>
          <w:p>
            <w:pPr>
              <w:widowControl/>
              <w:spacing w:after="0"/>
            </w:pPr>
            <w:r>
              <w:rPr>
                <w:rFonts w:ascii="Calibri" w:hAnsi="Calibri"/>
                <w:b w:val="0"/>
                <w:color w:val="1F2937"/>
                <w:sz w:val="15"/>
              </w:rPr>
              <w:t>Minor weakness or improvement.</w:t>
            </w:r>
          </w:p>
        </w:tc>
        <w:tc>
          <w:tcPr>
            <w:tcW w:type="dxa" w:w="3326"/>
            <w:tcMar>
              <w:top w:w="80" w:type="dxa"/>
              <w:start w:w="110" w:type="dxa"/>
              <w:bottom w:w="80" w:type="dxa"/>
              <w:end w:w="110" w:type="dxa"/>
            </w:tcMar>
            <w:vAlign w:val="center"/>
            <w:shd w:fill="F8FAFC"/>
          </w:tcPr>
          <w:p>
            <w:pPr>
              <w:widowControl/>
              <w:spacing w:after="0"/>
            </w:pPr>
            <w:r>
              <w:rPr>
                <w:rFonts w:ascii="Calibri" w:hAnsi="Calibri"/>
                <w:b w:val="0"/>
                <w:color w:val="1F2937"/>
                <w:sz w:val="15"/>
              </w:rPr>
              <w:t>Normal remediation cycle.</w:t>
            </w:r>
          </w:p>
        </w:tc>
      </w:tr>
    </w:tbl>
    <w:p>
      <w:pPr>
        <w:widowControl/>
        <w:spacing w:after="0"/>
      </w:pPr>
    </w:p>
    <w:p>
      <w:pPr>
        <w:pStyle w:val="Heading1"/>
        <w:widowControl/>
      </w:pPr>
      <w:r>
        <w:t>Part B — Article 41 simplified-framework review report</w:t>
      </w:r>
    </w:p>
    <w:tbl>
      <w:tblPr>
        <w:tblW w:type="auto" w:w="0"/>
        <w:jc w:val="center"/>
        <w:tblLayout w:type="fixed"/>
        <w:tblLook w:firstColumn="1" w:firstRow="1" w:lastColumn="0" w:lastRow="0" w:noHBand="0" w:noVBand="1" w:val="04A0"/>
      </w:tblPr>
      <w:tblGrid>
        <w:gridCol w:w="158"/>
        <w:gridCol w:w="9720"/>
      </w:tblGrid>
      <w:tr>
        <w:tc>
          <w:tcPr>
            <w:tcW w:type="dxa" w:w="158"/>
            <w:shd w:fill="9B1C1C"/>
            <w:tcMar>
              <w:top w:w="0" w:type="dxa"/>
              <w:start w:w="0" w:type="dxa"/>
              <w:bottom w:w="0" w:type="dxa"/>
              <w:end w:w="0" w:type="dxa"/>
            </w:tcMar>
            <w:vAlign w:val="center"/>
          </w:tcPr>
          <w:p>
            <w:pPr>
              <w:widowControl/>
            </w:pPr>
          </w:p>
        </w:tc>
        <w:tc>
          <w:tcPr>
            <w:tcW w:type="dxa" w:w="9720"/>
            <w:shd w:fill="FFF5F5"/>
            <w:tcMar>
              <w:top w:w="100" w:type="dxa"/>
              <w:start w:w="145" w:type="dxa"/>
              <w:bottom w:w="100" w:type="dxa"/>
              <w:end w:w="145" w:type="dxa"/>
            </w:tcMar>
            <w:vAlign w:val="center"/>
          </w:tcPr>
          <w:p>
            <w:pPr>
              <w:widowControl/>
            </w:pPr>
            <w:r>
              <w:rPr>
                <w:rFonts w:ascii="Calibri" w:hAnsi="Calibri"/>
                <w:b/>
                <w:color w:val="9B1C1C"/>
                <w:sz w:val="17"/>
              </w:rPr>
              <w:t>REGULATORY REPORT</w:t>
            </w:r>
            <w:r>
              <w:rPr>
                <w:rFonts w:ascii="Calibri" w:hAnsi="Calibri"/>
              </w:rPr>
              <w:br/>
              <w:t>The report must be searchable and available to the competent authority on request. It shall not claim implementation, testing or effectiveness that has not been evidenced.</w:t>
            </w:r>
          </w:p>
        </w:tc>
      </w:tr>
    </w:tbl>
    <w:p>
      <w:pPr>
        <w:widowControl/>
        <w:spacing w:after="0"/>
      </w:pPr>
    </w:p>
    <w:tbl>
      <w:tblPr>
        <w:tblStyle w:val="TableGrid"/>
        <w:tblW w:type="auto" w:w="0"/>
        <w:jc w:val="center"/>
        <w:tblLayout w:type="fixed"/>
        <w:tblLook w:firstColumn="1" w:firstRow="1" w:lastColumn="0" w:lastRow="0" w:noHBand="0" w:noVBand="1" w:val="04A0"/>
      </w:tblPr>
      <w:tblGrid>
        <w:gridCol w:w="3024"/>
        <w:gridCol w:w="6854"/>
      </w:tblGrid>
      <w:tr>
        <w:trPr>
          <w:tblHeader w:val="true"/>
        </w:trPr>
        <w:tc>
          <w:tcPr>
            <w:tcW w:type="dxa" w:w="3024"/>
            <w:shd w:fill="17365D"/>
            <w:tcMar>
              <w:top w:w="80" w:type="dxa"/>
              <w:start w:w="110" w:type="dxa"/>
              <w:bottom w:w="80" w:type="dxa"/>
              <w:end w:w="110" w:type="dxa"/>
            </w:tcMar>
            <w:vAlign w:val="center"/>
          </w:tcPr>
          <w:p>
            <w:pPr>
              <w:widowControl/>
            </w:pPr>
            <w:r>
              <w:rPr>
                <w:rFonts w:ascii="Calibri" w:hAnsi="Calibri"/>
                <w:b/>
                <w:color w:val="FFFFFF"/>
                <w:sz w:val="15"/>
              </w:rPr>
              <w:t>Required section</w:t>
            </w:r>
          </w:p>
        </w:tc>
        <w:tc>
          <w:tcPr>
            <w:tcW w:type="dxa" w:w="6854"/>
            <w:shd w:fill="17365D"/>
            <w:tcMar>
              <w:top w:w="80" w:type="dxa"/>
              <w:start w:w="110" w:type="dxa"/>
              <w:bottom w:w="80" w:type="dxa"/>
              <w:end w:w="110" w:type="dxa"/>
            </w:tcMar>
            <w:vAlign w:val="center"/>
          </w:tcPr>
          <w:p>
            <w:pPr>
              <w:widowControl/>
            </w:pPr>
            <w:r>
              <w:rPr>
                <w:rFonts w:ascii="Calibri" w:hAnsi="Calibri"/>
                <w:b/>
                <w:color w:val="FFFFFF"/>
                <w:sz w:val="15"/>
              </w:rPr>
              <w:t>Minimum content</w:t>
            </w:r>
          </w:p>
        </w:tc>
      </w:tr>
      <w:tr>
        <w:trPr>
          <w:cantSplit/>
        </w:trPr>
        <w:tc>
          <w:tcPr>
            <w:tcW w:type="dxa" w:w="3024"/>
            <w:tcMar>
              <w:top w:w="80" w:type="dxa"/>
              <w:start w:w="110" w:type="dxa"/>
              <w:bottom w:w="80" w:type="dxa"/>
              <w:end w:w="110" w:type="dxa"/>
            </w:tcMar>
            <w:vAlign w:val="center"/>
          </w:tcPr>
          <w:p>
            <w:pPr>
              <w:widowControl/>
              <w:spacing w:after="0"/>
            </w:pPr>
            <w:r>
              <w:rPr>
                <w:rFonts w:ascii="Calibri" w:hAnsi="Calibri"/>
                <w:b/>
                <w:color w:val="1F4D78"/>
                <w:sz w:val="15"/>
              </w:rPr>
              <w:t>1. Executive summary</w:t>
            </w:r>
          </w:p>
        </w:tc>
        <w:tc>
          <w:tcPr>
            <w:tcW w:type="dxa" w:w="6854"/>
            <w:tcMar>
              <w:top w:w="80" w:type="dxa"/>
              <w:start w:w="110" w:type="dxa"/>
              <w:bottom w:w="80" w:type="dxa"/>
              <w:end w:w="110" w:type="dxa"/>
            </w:tcMar>
            <w:vAlign w:val="center"/>
          </w:tcPr>
          <w:p>
            <w:pPr>
              <w:widowControl/>
              <w:spacing w:after="0"/>
            </w:pPr>
            <w:r>
              <w:rPr>
                <w:rFonts w:ascii="Calibri" w:hAnsi="Calibri"/>
                <w:b w:val="0"/>
                <w:color w:val="1F2937"/>
                <w:sz w:val="15"/>
              </w:rPr>
              <w:t>Review period, scope, overall conclusion, material weaknesses, resilience impact, decisions and priority actions.</w:t>
            </w:r>
          </w:p>
        </w:tc>
      </w:tr>
      <w:tr>
        <w:trPr>
          <w:cantSplit/>
        </w:trPr>
        <w:tc>
          <w:tcPr>
            <w:tcW w:type="dxa" w:w="3024"/>
            <w:tcMar>
              <w:top w:w="80" w:type="dxa"/>
              <w:start w:w="110" w:type="dxa"/>
              <w:bottom w:w="80" w:type="dxa"/>
              <w:end w:w="110" w:type="dxa"/>
            </w:tcMar>
            <w:vAlign w:val="center"/>
            <w:shd w:fill="F8FAFC"/>
          </w:tcPr>
          <w:p>
            <w:pPr>
              <w:widowControl/>
              <w:spacing w:after="0"/>
            </w:pPr>
            <w:r>
              <w:rPr>
                <w:rFonts w:ascii="Calibri" w:hAnsi="Calibri"/>
                <w:b/>
                <w:color w:val="1F4D78"/>
                <w:sz w:val="15"/>
              </w:rPr>
              <w:t>2. Entity and framework context</w:t>
            </w:r>
          </w:p>
        </w:tc>
        <w:tc>
          <w:tcPr>
            <w:tcW w:type="dxa" w:w="6854"/>
            <w:tcMar>
              <w:top w:w="80" w:type="dxa"/>
              <w:start w:w="110" w:type="dxa"/>
              <w:bottom w:w="80" w:type="dxa"/>
              <w:end w:w="110" w:type="dxa"/>
            </w:tcMar>
            <w:vAlign w:val="center"/>
            <w:shd w:fill="F8FAFC"/>
          </w:tcPr>
          <w:p>
            <w:pPr>
              <w:widowControl/>
              <w:spacing w:after="0"/>
            </w:pPr>
            <w:r>
              <w:rPr>
                <w:rFonts w:ascii="Calibri" w:hAnsi="Calibri"/>
                <w:b w:val="0"/>
                <w:color w:val="1F2937"/>
                <w:sz w:val="15"/>
              </w:rPr>
              <w:t>Entity, SNI and microenterprise status; business model; organisational/ICT changes; critical functions; key providers; proportionality.</w:t>
            </w:r>
          </w:p>
        </w:tc>
      </w:tr>
      <w:tr>
        <w:trPr>
          <w:cantSplit/>
        </w:trPr>
        <w:tc>
          <w:tcPr>
            <w:tcW w:type="dxa" w:w="3024"/>
            <w:tcMar>
              <w:top w:w="80" w:type="dxa"/>
              <w:start w:w="110" w:type="dxa"/>
              <w:bottom w:w="80" w:type="dxa"/>
              <w:end w:w="110" w:type="dxa"/>
            </w:tcMar>
            <w:vAlign w:val="center"/>
          </w:tcPr>
          <w:p>
            <w:pPr>
              <w:widowControl/>
              <w:spacing w:after="0"/>
            </w:pPr>
            <w:r>
              <w:rPr>
                <w:rFonts w:ascii="Calibri" w:hAnsi="Calibri"/>
                <w:b/>
                <w:color w:val="1F4D78"/>
                <w:sz w:val="15"/>
              </w:rPr>
              <w:t>3. Review trigger and approach</w:t>
            </w:r>
          </w:p>
        </w:tc>
        <w:tc>
          <w:tcPr>
            <w:tcW w:type="dxa" w:w="6854"/>
            <w:tcMar>
              <w:top w:w="80" w:type="dxa"/>
              <w:start w:w="110" w:type="dxa"/>
              <w:bottom w:w="80" w:type="dxa"/>
              <w:end w:w="110" w:type="dxa"/>
            </w:tcMar>
            <w:vAlign w:val="center"/>
          </w:tcPr>
          <w:p>
            <w:pPr>
              <w:widowControl/>
              <w:spacing w:after="0"/>
            </w:pPr>
            <w:r>
              <w:rPr>
                <w:rFonts w:ascii="Calibri" w:hAnsi="Calibri"/>
                <w:b w:val="0"/>
                <w:color w:val="1F2937"/>
                <w:sz w:val="15"/>
              </w:rPr>
              <w:t>Scheduled or event-driven trigger; reviewers; independence/competence; evidence; interviews; sampling; limitations.</w:t>
            </w:r>
          </w:p>
        </w:tc>
      </w:tr>
      <w:tr>
        <w:trPr>
          <w:cantSplit/>
        </w:trPr>
        <w:tc>
          <w:tcPr>
            <w:tcW w:type="dxa" w:w="3024"/>
            <w:tcMar>
              <w:top w:w="80" w:type="dxa"/>
              <w:start w:w="110" w:type="dxa"/>
              <w:bottom w:w="80" w:type="dxa"/>
              <w:end w:w="110" w:type="dxa"/>
            </w:tcMar>
            <w:vAlign w:val="center"/>
            <w:shd w:fill="F8FAFC"/>
          </w:tcPr>
          <w:p>
            <w:pPr>
              <w:widowControl/>
              <w:spacing w:after="0"/>
            </w:pPr>
            <w:r>
              <w:rPr>
                <w:rFonts w:ascii="Calibri" w:hAnsi="Calibri"/>
                <w:b/>
                <w:color w:val="1F4D78"/>
                <w:sz w:val="15"/>
              </w:rPr>
              <w:t>4. Governance and organisation</w:t>
            </w:r>
          </w:p>
        </w:tc>
        <w:tc>
          <w:tcPr>
            <w:tcW w:type="dxa" w:w="6854"/>
            <w:tcMar>
              <w:top w:w="80" w:type="dxa"/>
              <w:start w:w="110" w:type="dxa"/>
              <w:bottom w:w="80" w:type="dxa"/>
              <w:end w:w="110" w:type="dxa"/>
            </w:tcMar>
            <w:vAlign w:val="center"/>
            <w:shd w:fill="F8FAFC"/>
          </w:tcPr>
          <w:p>
            <w:pPr>
              <w:widowControl/>
              <w:spacing w:after="0"/>
            </w:pPr>
            <w:r>
              <w:rPr>
                <w:rFonts w:ascii="Calibri" w:hAnsi="Calibri"/>
                <w:b w:val="0"/>
                <w:color w:val="1F2937"/>
                <w:sz w:val="15"/>
              </w:rPr>
              <w:t>Responsibilities, segregation, resources, budget, reporting, audit and management-body oversight.</w:t>
            </w:r>
          </w:p>
        </w:tc>
      </w:tr>
      <w:tr>
        <w:trPr>
          <w:cantSplit/>
        </w:trPr>
        <w:tc>
          <w:tcPr>
            <w:tcW w:type="dxa" w:w="3024"/>
            <w:tcMar>
              <w:top w:w="80" w:type="dxa"/>
              <w:start w:w="110" w:type="dxa"/>
              <w:bottom w:w="80" w:type="dxa"/>
              <w:end w:w="110" w:type="dxa"/>
            </w:tcMar>
            <w:vAlign w:val="center"/>
          </w:tcPr>
          <w:p>
            <w:pPr>
              <w:widowControl/>
              <w:spacing w:after="0"/>
            </w:pPr>
            <w:r>
              <w:rPr>
                <w:rFonts w:ascii="Calibri" w:hAnsi="Calibri"/>
                <w:b/>
                <w:color w:val="1F4D78"/>
                <w:sz w:val="15"/>
              </w:rPr>
              <w:t>5. ICT risk management</w:t>
            </w:r>
          </w:p>
        </w:tc>
        <w:tc>
          <w:tcPr>
            <w:tcW w:type="dxa" w:w="6854"/>
            <w:tcMar>
              <w:top w:w="80" w:type="dxa"/>
              <w:start w:w="110" w:type="dxa"/>
              <w:bottom w:w="80" w:type="dxa"/>
              <w:end w:w="110" w:type="dxa"/>
            </w:tcMar>
            <w:vAlign w:val="center"/>
          </w:tcPr>
          <w:p>
            <w:pPr>
              <w:widowControl/>
              <w:spacing w:after="0"/>
            </w:pPr>
            <w:r>
              <w:rPr>
                <w:rFonts w:ascii="Calibri" w:hAnsi="Calibri"/>
                <w:b w:val="0"/>
                <w:color w:val="1F2937"/>
                <w:sz w:val="15"/>
              </w:rPr>
              <w:t>Risk tolerance, assessment, treatment, monitoring, alerts, inventories, classification and dependencies.</w:t>
            </w:r>
          </w:p>
        </w:tc>
      </w:tr>
      <w:tr>
        <w:trPr>
          <w:cantSplit/>
        </w:trPr>
        <w:tc>
          <w:tcPr>
            <w:tcW w:type="dxa" w:w="3024"/>
            <w:tcMar>
              <w:top w:w="80" w:type="dxa"/>
              <w:start w:w="110" w:type="dxa"/>
              <w:bottom w:w="80" w:type="dxa"/>
              <w:end w:w="110" w:type="dxa"/>
            </w:tcMar>
            <w:vAlign w:val="center"/>
            <w:shd w:fill="F8FAFC"/>
          </w:tcPr>
          <w:p>
            <w:pPr>
              <w:widowControl/>
              <w:spacing w:after="0"/>
            </w:pPr>
            <w:r>
              <w:rPr>
                <w:rFonts w:ascii="Calibri" w:hAnsi="Calibri"/>
                <w:b/>
                <w:color w:val="1F4D78"/>
                <w:sz w:val="15"/>
              </w:rPr>
              <w:t>6. Protection and operations</w:t>
            </w:r>
          </w:p>
        </w:tc>
        <w:tc>
          <w:tcPr>
            <w:tcW w:type="dxa" w:w="6854"/>
            <w:tcMar>
              <w:top w:w="80" w:type="dxa"/>
              <w:start w:w="110" w:type="dxa"/>
              <w:bottom w:w="80" w:type="dxa"/>
              <w:end w:w="110" w:type="dxa"/>
            </w:tcMar>
            <w:vAlign w:val="center"/>
            <w:shd w:fill="F8FAFC"/>
          </w:tcPr>
          <w:p>
            <w:pPr>
              <w:widowControl/>
              <w:spacing w:after="0"/>
            </w:pPr>
            <w:r>
              <w:rPr>
                <w:rFonts w:ascii="Calibri" w:hAnsi="Calibri"/>
                <w:b w:val="0"/>
                <w:color w:val="1F2937"/>
                <w:sz w:val="15"/>
              </w:rPr>
              <w:t>Information-security measures, access, physical security, patching, logging, systems, acquisition and change.</w:t>
            </w:r>
          </w:p>
        </w:tc>
      </w:tr>
      <w:tr>
        <w:trPr>
          <w:cantSplit/>
        </w:trPr>
        <w:tc>
          <w:tcPr>
            <w:tcW w:type="dxa" w:w="3024"/>
            <w:tcMar>
              <w:top w:w="80" w:type="dxa"/>
              <w:start w:w="110" w:type="dxa"/>
              <w:bottom w:w="80" w:type="dxa"/>
              <w:end w:w="110" w:type="dxa"/>
            </w:tcMar>
            <w:vAlign w:val="center"/>
          </w:tcPr>
          <w:p>
            <w:pPr>
              <w:widowControl/>
              <w:spacing w:after="0"/>
            </w:pPr>
            <w:r>
              <w:rPr>
                <w:rFonts w:ascii="Calibri" w:hAnsi="Calibri"/>
                <w:b/>
                <w:color w:val="1F4D78"/>
                <w:sz w:val="15"/>
              </w:rPr>
              <w:t>7. Incidents and learning</w:t>
            </w:r>
          </w:p>
        </w:tc>
        <w:tc>
          <w:tcPr>
            <w:tcW w:type="dxa" w:w="6854"/>
            <w:tcMar>
              <w:top w:w="80" w:type="dxa"/>
              <w:start w:w="110" w:type="dxa"/>
              <w:bottom w:w="80" w:type="dxa"/>
              <w:end w:w="110" w:type="dxa"/>
            </w:tcMar>
            <w:vAlign w:val="center"/>
          </w:tcPr>
          <w:p>
            <w:pPr>
              <w:widowControl/>
              <w:spacing w:after="0"/>
            </w:pPr>
            <w:r>
              <w:rPr>
                <w:rFonts w:ascii="Calibri" w:hAnsi="Calibri"/>
                <w:b w:val="0"/>
                <w:color w:val="1F2937"/>
                <w:sz w:val="15"/>
              </w:rPr>
              <w:t>Incidents, classifications, reporting, response performance, root cause and lessons.</w:t>
            </w:r>
          </w:p>
        </w:tc>
      </w:tr>
      <w:tr>
        <w:trPr>
          <w:cantSplit/>
        </w:trPr>
        <w:tc>
          <w:tcPr>
            <w:tcW w:type="dxa" w:w="3024"/>
            <w:tcMar>
              <w:top w:w="80" w:type="dxa"/>
              <w:start w:w="110" w:type="dxa"/>
              <w:bottom w:w="80" w:type="dxa"/>
              <w:end w:w="110" w:type="dxa"/>
            </w:tcMar>
            <w:vAlign w:val="center"/>
            <w:shd w:fill="F8FAFC"/>
          </w:tcPr>
          <w:p>
            <w:pPr>
              <w:widowControl/>
              <w:spacing w:after="0"/>
            </w:pPr>
            <w:r>
              <w:rPr>
                <w:rFonts w:ascii="Calibri" w:hAnsi="Calibri"/>
                <w:b/>
                <w:color w:val="1F4D78"/>
                <w:sz w:val="15"/>
              </w:rPr>
              <w:t>8. Continuity and testing</w:t>
            </w:r>
          </w:p>
        </w:tc>
        <w:tc>
          <w:tcPr>
            <w:tcW w:type="dxa" w:w="6854"/>
            <w:tcMar>
              <w:top w:w="80" w:type="dxa"/>
              <w:start w:w="110" w:type="dxa"/>
              <w:bottom w:w="80" w:type="dxa"/>
              <w:end w:w="110" w:type="dxa"/>
            </w:tcMar>
            <w:vAlign w:val="center"/>
            <w:shd w:fill="F8FAFC"/>
          </w:tcPr>
          <w:p>
            <w:pPr>
              <w:widowControl/>
              <w:spacing w:after="0"/>
            </w:pPr>
            <w:r>
              <w:rPr>
                <w:rFonts w:ascii="Calibri" w:hAnsi="Calibri"/>
                <w:b w:val="0"/>
                <w:color w:val="1F2937"/>
                <w:sz w:val="15"/>
              </w:rPr>
              <w:t>BIA/RTO/RPO, plans, backup/restoration, exercises, security testing, findings and actual performance.</w:t>
            </w:r>
          </w:p>
        </w:tc>
      </w:tr>
      <w:tr>
        <w:trPr>
          <w:cantSplit/>
        </w:trPr>
        <w:tc>
          <w:tcPr>
            <w:tcW w:type="dxa" w:w="3024"/>
            <w:tcMar>
              <w:top w:w="80" w:type="dxa"/>
              <w:start w:w="110" w:type="dxa"/>
              <w:bottom w:w="80" w:type="dxa"/>
              <w:end w:w="110" w:type="dxa"/>
            </w:tcMar>
            <w:vAlign w:val="center"/>
          </w:tcPr>
          <w:p>
            <w:pPr>
              <w:widowControl/>
              <w:spacing w:after="0"/>
            </w:pPr>
            <w:r>
              <w:rPr>
                <w:rFonts w:ascii="Calibri" w:hAnsi="Calibri"/>
                <w:b/>
                <w:color w:val="1F4D78"/>
                <w:sz w:val="15"/>
              </w:rPr>
              <w:t>9. ICT third parties</w:t>
            </w:r>
          </w:p>
        </w:tc>
        <w:tc>
          <w:tcPr>
            <w:tcW w:type="dxa" w:w="6854"/>
            <w:tcMar>
              <w:top w:w="80" w:type="dxa"/>
              <w:start w:w="110" w:type="dxa"/>
              <w:bottom w:w="80" w:type="dxa"/>
              <w:end w:w="110" w:type="dxa"/>
            </w:tcMar>
            <w:vAlign w:val="center"/>
          </w:tcPr>
          <w:p>
            <w:pPr>
              <w:widowControl/>
              <w:spacing w:after="0"/>
            </w:pPr>
            <w:r>
              <w:rPr>
                <w:rFonts w:ascii="Calibri" w:hAnsi="Calibri"/>
                <w:b w:val="0"/>
                <w:color w:val="1F2937"/>
                <w:sz w:val="15"/>
              </w:rPr>
              <w:t>Inventory/register, criticality, due diligence, contracts, monitoring, concentration, subcontracting and exit.</w:t>
            </w:r>
          </w:p>
        </w:tc>
      </w:tr>
      <w:tr>
        <w:trPr>
          <w:cantSplit/>
        </w:trPr>
        <w:tc>
          <w:tcPr>
            <w:tcW w:type="dxa" w:w="3024"/>
            <w:tcMar>
              <w:top w:w="80" w:type="dxa"/>
              <w:start w:w="110" w:type="dxa"/>
              <w:bottom w:w="80" w:type="dxa"/>
              <w:end w:w="110" w:type="dxa"/>
            </w:tcMar>
            <w:vAlign w:val="center"/>
            <w:shd w:fill="F8FAFC"/>
          </w:tcPr>
          <w:p>
            <w:pPr>
              <w:widowControl/>
              <w:spacing w:after="0"/>
            </w:pPr>
            <w:r>
              <w:rPr>
                <w:rFonts w:ascii="Calibri" w:hAnsi="Calibri"/>
                <w:b/>
                <w:color w:val="1F4D78"/>
                <w:sz w:val="15"/>
              </w:rPr>
              <w:t>10. Major changes and improvements</w:t>
            </w:r>
          </w:p>
        </w:tc>
        <w:tc>
          <w:tcPr>
            <w:tcW w:type="dxa" w:w="6854"/>
            <w:tcMar>
              <w:top w:w="80" w:type="dxa"/>
              <w:start w:w="110" w:type="dxa"/>
              <w:bottom w:w="80" w:type="dxa"/>
              <w:end w:w="110" w:type="dxa"/>
            </w:tcMar>
            <w:vAlign w:val="center"/>
            <w:shd w:fill="F8FAFC"/>
          </w:tcPr>
          <w:p>
            <w:pPr>
              <w:widowControl/>
              <w:spacing w:after="0"/>
            </w:pPr>
            <w:r>
              <w:rPr>
                <w:rFonts w:ascii="Calibri" w:hAnsi="Calibri"/>
                <w:b w:val="0"/>
                <w:color w:val="1F2937"/>
                <w:sz w:val="15"/>
              </w:rPr>
              <w:t>Changes since prior review and their effect on digital operational resilience.</w:t>
            </w:r>
          </w:p>
        </w:tc>
      </w:tr>
      <w:tr>
        <w:trPr>
          <w:cantSplit/>
        </w:trPr>
        <w:tc>
          <w:tcPr>
            <w:tcW w:type="dxa" w:w="3024"/>
            <w:tcMar>
              <w:top w:w="80" w:type="dxa"/>
              <w:start w:w="110" w:type="dxa"/>
              <w:bottom w:w="80" w:type="dxa"/>
              <w:end w:w="110" w:type="dxa"/>
            </w:tcMar>
            <w:vAlign w:val="center"/>
          </w:tcPr>
          <w:p>
            <w:pPr>
              <w:widowControl/>
              <w:spacing w:after="0"/>
            </w:pPr>
            <w:r>
              <w:rPr>
                <w:rFonts w:ascii="Calibri" w:hAnsi="Calibri"/>
                <w:b/>
                <w:color w:val="1F4D78"/>
                <w:sz w:val="15"/>
              </w:rPr>
              <w:t>11. Weaknesses and corrective measures</w:t>
            </w:r>
          </w:p>
        </w:tc>
        <w:tc>
          <w:tcPr>
            <w:tcW w:type="dxa" w:w="6854"/>
            <w:tcMar>
              <w:top w:w="80" w:type="dxa"/>
              <w:start w:w="110" w:type="dxa"/>
              <w:bottom w:w="80" w:type="dxa"/>
              <w:end w:w="110" w:type="dxa"/>
            </w:tcMar>
            <w:vAlign w:val="center"/>
          </w:tcPr>
          <w:p>
            <w:pPr>
              <w:widowControl/>
              <w:spacing w:after="0"/>
            </w:pPr>
            <w:r>
              <w:rPr>
                <w:rFonts w:ascii="Calibri" w:hAnsi="Calibri"/>
                <w:b w:val="0"/>
                <w:color w:val="1F2937"/>
                <w:sz w:val="15"/>
              </w:rPr>
              <w:t>Root cause, risk, actions, owners, deadlines, interim controls and verification.</w:t>
            </w:r>
          </w:p>
        </w:tc>
      </w:tr>
      <w:tr>
        <w:trPr>
          <w:cantSplit/>
        </w:trPr>
        <w:tc>
          <w:tcPr>
            <w:tcW w:type="dxa" w:w="3024"/>
            <w:tcMar>
              <w:top w:w="80" w:type="dxa"/>
              <w:start w:w="110" w:type="dxa"/>
              <w:bottom w:w="80" w:type="dxa"/>
              <w:end w:w="110" w:type="dxa"/>
            </w:tcMar>
            <w:vAlign w:val="center"/>
            <w:shd w:fill="F8FAFC"/>
          </w:tcPr>
          <w:p>
            <w:pPr>
              <w:widowControl/>
              <w:spacing w:after="0"/>
            </w:pPr>
            <w:r>
              <w:rPr>
                <w:rFonts w:ascii="Calibri" w:hAnsi="Calibri"/>
                <w:b/>
                <w:color w:val="1F4D78"/>
                <w:sz w:val="15"/>
              </w:rPr>
              <w:t>12. Overall conclusion and approvals</w:t>
            </w:r>
          </w:p>
        </w:tc>
        <w:tc>
          <w:tcPr>
            <w:tcW w:type="dxa" w:w="6854"/>
            <w:tcMar>
              <w:top w:w="80" w:type="dxa"/>
              <w:start w:w="110" w:type="dxa"/>
              <w:bottom w:w="80" w:type="dxa"/>
              <w:end w:w="110" w:type="dxa"/>
            </w:tcMar>
            <w:vAlign w:val="center"/>
            <w:shd w:fill="F8FAFC"/>
          </w:tcPr>
          <w:p>
            <w:pPr>
              <w:widowControl/>
              <w:spacing w:after="0"/>
            </w:pPr>
            <w:r>
              <w:rPr>
                <w:rFonts w:ascii="Calibri" w:hAnsi="Calibri"/>
                <w:b w:val="0"/>
                <w:color w:val="1F2937"/>
                <w:sz w:val="15"/>
              </w:rPr>
              <w:t>Effectiveness conclusion; residual risk; accepted exceptions; management-body decision; next review.</w:t>
            </w:r>
          </w:p>
        </w:tc>
      </w:tr>
    </w:tbl>
    <w:p>
      <w:pPr>
        <w:widowControl/>
        <w:spacing w:after="0"/>
      </w:pPr>
    </w:p>
    <w:p>
      <w:pPr>
        <w:pStyle w:val="Heading1"/>
        <w:widowControl/>
      </w:pPr>
      <w:r>
        <w:t>Part C — Review checklist and evidence plan</w:t>
      </w:r>
    </w:p>
    <w:tbl>
      <w:tblPr>
        <w:tblStyle w:val="TableGrid"/>
        <w:tblW w:type="auto" w:w="0"/>
        <w:jc w:val="center"/>
        <w:tblLayout w:type="fixed"/>
        <w:tblLook w:firstColumn="1" w:firstRow="1" w:lastColumn="0" w:lastRow="0" w:noHBand="0" w:noVBand="1" w:val="04A0"/>
      </w:tblPr>
      <w:tblGrid>
        <w:gridCol w:w="1440"/>
        <w:gridCol w:w="8438"/>
      </w:tblGrid>
      <w:tr>
        <w:trPr>
          <w:tblHeader w:val="true"/>
        </w:trPr>
        <w:tc>
          <w:tcPr>
            <w:tcW w:type="dxa" w:w="1440"/>
            <w:shd w:fill="17365D"/>
            <w:tcMar>
              <w:top w:w="80" w:type="dxa"/>
              <w:start w:w="110" w:type="dxa"/>
              <w:bottom w:w="80" w:type="dxa"/>
              <w:end w:w="110" w:type="dxa"/>
            </w:tcMar>
            <w:vAlign w:val="center"/>
          </w:tcPr>
          <w:p>
            <w:pPr>
              <w:widowControl/>
            </w:pPr>
            <w:r>
              <w:rPr>
                <w:rFonts w:ascii="Calibri" w:hAnsi="Calibri"/>
                <w:b/>
                <w:color w:val="FFFFFF"/>
                <w:sz w:val="16"/>
              </w:rPr>
              <w:t>Source</w:t>
            </w:r>
          </w:p>
        </w:tc>
        <w:tc>
          <w:tcPr>
            <w:tcW w:type="dxa" w:w="8438"/>
            <w:shd w:fill="17365D"/>
            <w:tcMar>
              <w:top w:w="80" w:type="dxa"/>
              <w:start w:w="110" w:type="dxa"/>
              <w:bottom w:w="80" w:type="dxa"/>
              <w:end w:w="110" w:type="dxa"/>
            </w:tcMar>
            <w:vAlign w:val="center"/>
          </w:tcPr>
          <w:p>
            <w:pPr>
              <w:widowControl/>
            </w:pPr>
            <w:r>
              <w:rPr>
                <w:rFonts w:ascii="Calibri" w:hAnsi="Calibri"/>
                <w:b/>
                <w:color w:val="FFFFFF"/>
                <w:sz w:val="16"/>
              </w:rPr>
              <w:t>Review conclusion /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color w:val="1F4D78"/>
                <w:sz w:val="16"/>
              </w:rPr>
              <w:t>D01</w:t>
            </w:r>
          </w:p>
        </w:tc>
        <w:tc>
          <w:tcPr>
            <w:tcW w:type="dxa" w:w="8438"/>
            <w:tcMar>
              <w:top w:w="80" w:type="dxa"/>
              <w:start w:w="110" w:type="dxa"/>
              <w:bottom w:w="80" w:type="dxa"/>
              <w:end w:w="110" w:type="dxa"/>
            </w:tcMar>
            <w:vAlign w:val="center"/>
          </w:tcPr>
          <w:p>
            <w:pPr>
              <w:widowControl/>
              <w:spacing w:after="0"/>
            </w:pPr>
            <w:r>
              <w:rPr>
                <w:rFonts w:ascii="Calibri" w:hAnsi="Calibri"/>
                <w:b w:val="0"/>
                <w:color w:val="1F2937"/>
                <w:sz w:val="16"/>
              </w:rPr>
              <w:t>Governance, proportionality, risk tolerance, reporting, resources and review — [EFFECTIVE / PARTIAL / INEFFECTIVE; EVIDENCE REF]</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color w:val="1F4D78"/>
                <w:sz w:val="16"/>
              </w:rPr>
              <w:t>D02</w:t>
            </w:r>
          </w:p>
        </w:tc>
        <w:tc>
          <w:tcPr>
            <w:tcW w:type="dxa" w:w="8438"/>
            <w:tcMar>
              <w:top w:w="80" w:type="dxa"/>
              <w:start w:w="110" w:type="dxa"/>
              <w:bottom w:w="80" w:type="dxa"/>
              <w:end w:w="110" w:type="dxa"/>
            </w:tcMar>
            <w:vAlign w:val="center"/>
            <w:shd w:fill="F8FAFC"/>
          </w:tcPr>
          <w:p>
            <w:pPr>
              <w:widowControl/>
              <w:spacing w:after="0"/>
            </w:pPr>
            <w:r>
              <w:rPr>
                <w:rFonts w:ascii="Calibri" w:hAnsi="Calibri"/>
                <w:b w:val="0"/>
                <w:color w:val="1F2937"/>
                <w:sz w:val="16"/>
              </w:rPr>
              <w:t>Policy coverage and operating evidence — [EFFECTIVE / PARTIAL / INEFFECTIVE; EVIDENCE REF]</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color w:val="1F4D78"/>
                <w:sz w:val="16"/>
              </w:rPr>
              <w:t>D03</w:t>
            </w:r>
          </w:p>
        </w:tc>
        <w:tc>
          <w:tcPr>
            <w:tcW w:type="dxa" w:w="8438"/>
            <w:tcMar>
              <w:top w:w="80" w:type="dxa"/>
              <w:start w:w="110" w:type="dxa"/>
              <w:bottom w:w="80" w:type="dxa"/>
              <w:end w:w="110" w:type="dxa"/>
            </w:tcMar>
            <w:vAlign w:val="center"/>
          </w:tcPr>
          <w:p>
            <w:pPr>
              <w:widowControl/>
              <w:spacing w:after="0"/>
            </w:pPr>
            <w:r>
              <w:rPr>
                <w:rFonts w:ascii="Calibri" w:hAnsi="Calibri"/>
                <w:b w:val="0"/>
                <w:color w:val="1F2937"/>
                <w:sz w:val="16"/>
              </w:rPr>
              <w:t>Current risk register, scoring, treatments and acceptances — [EFFECTIVE / PARTIAL / INEFFECTIVE; EVIDENCE REF]</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color w:val="1F4D78"/>
                <w:sz w:val="16"/>
              </w:rPr>
              <w:t>D04</w:t>
            </w:r>
          </w:p>
        </w:tc>
        <w:tc>
          <w:tcPr>
            <w:tcW w:type="dxa" w:w="8438"/>
            <w:tcMar>
              <w:top w:w="80" w:type="dxa"/>
              <w:start w:w="110" w:type="dxa"/>
              <w:bottom w:w="80" w:type="dxa"/>
              <w:end w:w="110" w:type="dxa"/>
            </w:tcMar>
            <w:vAlign w:val="center"/>
            <w:shd w:fill="F8FAFC"/>
          </w:tcPr>
          <w:p>
            <w:pPr>
              <w:widowControl/>
              <w:spacing w:after="0"/>
            </w:pPr>
            <w:r>
              <w:rPr>
                <w:rFonts w:ascii="Calibri" w:hAnsi="Calibri"/>
                <w:b w:val="0"/>
                <w:color w:val="1F2937"/>
                <w:sz w:val="16"/>
              </w:rPr>
              <w:t>Functions/assets/providers/dependencies complete and current — [EFFECTIVE / PARTIAL / INEFFECTIVE; EVIDENCE REF]</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color w:val="1F4D78"/>
                <w:sz w:val="16"/>
              </w:rPr>
              <w:t>D05</w:t>
            </w:r>
          </w:p>
        </w:tc>
        <w:tc>
          <w:tcPr>
            <w:tcW w:type="dxa" w:w="8438"/>
            <w:tcMar>
              <w:top w:w="80" w:type="dxa"/>
              <w:start w:w="110" w:type="dxa"/>
              <w:bottom w:w="80" w:type="dxa"/>
              <w:end w:w="110" w:type="dxa"/>
            </w:tcMar>
            <w:vAlign w:val="center"/>
          </w:tcPr>
          <w:p>
            <w:pPr>
              <w:widowControl/>
              <w:spacing w:after="0"/>
            </w:pPr>
            <w:r>
              <w:rPr>
                <w:rFonts w:ascii="Calibri" w:hAnsi="Calibri"/>
                <w:b w:val="0"/>
                <w:color w:val="1F2937"/>
                <w:sz w:val="16"/>
              </w:rPr>
              <w:t>BIA, recovery objectives, plans and actual recoverability — [EFFECTIVE / PARTIAL / INEFFECTIVE; EVIDENCE REF]</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color w:val="1F4D78"/>
                <w:sz w:val="16"/>
              </w:rPr>
              <w:t>D06/D07</w:t>
            </w:r>
          </w:p>
        </w:tc>
        <w:tc>
          <w:tcPr>
            <w:tcW w:type="dxa" w:w="8438"/>
            <w:tcMar>
              <w:top w:w="80" w:type="dxa"/>
              <w:start w:w="110" w:type="dxa"/>
              <w:bottom w:w="80" w:type="dxa"/>
              <w:end w:w="110" w:type="dxa"/>
            </w:tcMar>
            <w:vAlign w:val="center"/>
            <w:shd w:fill="F8FAFC"/>
          </w:tcPr>
          <w:p>
            <w:pPr>
              <w:widowControl/>
              <w:spacing w:after="0"/>
            </w:pPr>
            <w:r>
              <w:rPr>
                <w:rFonts w:ascii="Calibri" w:hAnsi="Calibri"/>
                <w:b w:val="0"/>
                <w:color w:val="1F2937"/>
                <w:sz w:val="16"/>
              </w:rPr>
              <w:t>Incident readiness, classifications, reporting and lessons — [EFFECTIVE / PARTIAL / INEFFECTIVE; EVIDENCE REF]</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color w:val="1F4D78"/>
                <w:sz w:val="16"/>
              </w:rPr>
              <w:t>D08</w:t>
            </w:r>
          </w:p>
        </w:tc>
        <w:tc>
          <w:tcPr>
            <w:tcW w:type="dxa" w:w="8438"/>
            <w:tcMar>
              <w:top w:w="80" w:type="dxa"/>
              <w:start w:w="110" w:type="dxa"/>
              <w:bottom w:w="80" w:type="dxa"/>
              <w:end w:w="110" w:type="dxa"/>
            </w:tcMar>
            <w:vAlign w:val="center"/>
          </w:tcPr>
          <w:p>
            <w:pPr>
              <w:widowControl/>
              <w:spacing w:after="0"/>
            </w:pPr>
            <w:r>
              <w:rPr>
                <w:rFonts w:ascii="Calibri" w:hAnsi="Calibri"/>
                <w:b w:val="0"/>
                <w:color w:val="1F2937"/>
                <w:sz w:val="16"/>
              </w:rPr>
              <w:t>Programme coverage, results, remediation and retesting — [EFFECTIVE / PARTIAL / INEFFECTIVE; EVIDENCE REF]</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color w:val="1F4D78"/>
                <w:sz w:val="16"/>
              </w:rPr>
              <w:t>D09–D11</w:t>
            </w:r>
          </w:p>
        </w:tc>
        <w:tc>
          <w:tcPr>
            <w:tcW w:type="dxa" w:w="8438"/>
            <w:tcMar>
              <w:top w:w="80" w:type="dxa"/>
              <w:start w:w="110" w:type="dxa"/>
              <w:bottom w:w="80" w:type="dxa"/>
              <w:end w:w="110" w:type="dxa"/>
            </w:tcMar>
            <w:vAlign w:val="center"/>
            <w:shd w:fill="F8FAFC"/>
          </w:tcPr>
          <w:p>
            <w:pPr>
              <w:widowControl/>
              <w:spacing w:after="0"/>
            </w:pPr>
            <w:r>
              <w:rPr>
                <w:rFonts w:ascii="Calibri" w:hAnsi="Calibri"/>
                <w:b w:val="0"/>
                <w:color w:val="1F2937"/>
                <w:sz w:val="16"/>
              </w:rPr>
              <w:t>Provider lifecycle, register, contracts, concentration and exit — [EFFECTIVE / PARTIAL / INEFFECTIVE; EVIDENCE REF]</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color w:val="1F4D78"/>
                <w:sz w:val="16"/>
              </w:rPr>
              <w:t>D12</w:t>
            </w:r>
          </w:p>
        </w:tc>
        <w:tc>
          <w:tcPr>
            <w:tcW w:type="dxa" w:w="8438"/>
            <w:tcMar>
              <w:top w:w="80" w:type="dxa"/>
              <w:start w:w="110" w:type="dxa"/>
              <w:bottom w:w="80" w:type="dxa"/>
              <w:end w:w="110" w:type="dxa"/>
            </w:tcMar>
            <w:vAlign w:val="center"/>
          </w:tcPr>
          <w:p>
            <w:pPr>
              <w:widowControl/>
              <w:spacing w:after="0"/>
            </w:pPr>
            <w:r>
              <w:rPr>
                <w:rFonts w:ascii="Calibri" w:hAnsi="Calibri"/>
                <w:b w:val="0"/>
                <w:color w:val="1F2937"/>
                <w:sz w:val="16"/>
              </w:rPr>
              <w:t>Training completion and effectiveness — [EFFECTIVE / PARTIAL / INEFFECTIVE; EVIDENCE REF]</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color w:val="1F4D78"/>
                <w:sz w:val="16"/>
              </w:rPr>
              <w:t>D14</w:t>
            </w:r>
          </w:p>
        </w:tc>
        <w:tc>
          <w:tcPr>
            <w:tcW w:type="dxa" w:w="8438"/>
            <w:tcMar>
              <w:top w:w="80" w:type="dxa"/>
              <w:start w:w="110" w:type="dxa"/>
              <w:bottom w:w="80" w:type="dxa"/>
              <w:end w:w="110" w:type="dxa"/>
            </w:tcMar>
            <w:vAlign w:val="center"/>
            <w:shd w:fill="F8FAFC"/>
          </w:tcPr>
          <w:p>
            <w:pPr>
              <w:widowControl/>
              <w:spacing w:after="0"/>
            </w:pPr>
            <w:r>
              <w:rPr>
                <w:rFonts w:ascii="Calibri" w:hAnsi="Calibri"/>
                <w:b w:val="0"/>
                <w:color w:val="1F2937"/>
                <w:sz w:val="16"/>
              </w:rPr>
              <w:t>Evidence completeness, currency, review and retention — [EFFECTIVE / PARTIAL / INEFFECTIVE; EVIDENCE REF]</w:t>
            </w:r>
          </w:p>
        </w:tc>
      </w:tr>
    </w:tbl>
    <w:p>
      <w:pPr>
        <w:widowControl/>
        <w:spacing w:after="0"/>
      </w:pPr>
    </w:p>
    <w:p>
      <w:pPr>
        <w:pStyle w:val="Heading1"/>
        <w:widowControl/>
      </w:pPr>
      <w:r>
        <w:t>Part D — Findings and remediation</w:t>
      </w:r>
    </w:p>
    <w:tbl>
      <w:tblPr>
        <w:tblStyle w:val="TableGrid"/>
        <w:tblW w:type="auto" w:w="0"/>
        <w:jc w:val="center"/>
        <w:tblLayout w:type="fixed"/>
        <w:tblLook w:firstColumn="1" w:firstRow="1" w:lastColumn="0" w:lastRow="0" w:noHBand="0" w:noVBand="1" w:val="04A0"/>
      </w:tblPr>
      <w:tblGrid>
        <w:gridCol w:w="936"/>
        <w:gridCol w:w="1944"/>
        <w:gridCol w:w="2232"/>
        <w:gridCol w:w="936"/>
        <w:gridCol w:w="1440"/>
        <w:gridCol w:w="1224"/>
        <w:gridCol w:w="1166"/>
      </w:tblGrid>
      <w:tr>
        <w:trPr>
          <w:tblHeader w:val="true"/>
        </w:trPr>
        <w:tc>
          <w:tcPr>
            <w:tcW w:type="dxa" w:w="936"/>
            <w:shd w:fill="17365D"/>
            <w:tcMar>
              <w:top w:w="80" w:type="dxa"/>
              <w:start w:w="110" w:type="dxa"/>
              <w:bottom w:w="80" w:type="dxa"/>
              <w:end w:w="110" w:type="dxa"/>
            </w:tcMar>
            <w:vAlign w:val="center"/>
          </w:tcPr>
          <w:p>
            <w:pPr>
              <w:widowControl/>
            </w:pPr>
            <w:r>
              <w:rPr>
                <w:rFonts w:ascii="Calibri" w:hAnsi="Calibri"/>
                <w:b/>
                <w:color w:val="FFFFFF"/>
                <w:sz w:val="14"/>
              </w:rPr>
              <w:t>ID</w:t>
            </w:r>
          </w:p>
        </w:tc>
        <w:tc>
          <w:tcPr>
            <w:tcW w:type="dxa" w:w="1944"/>
            <w:shd w:fill="17365D"/>
            <w:tcMar>
              <w:top w:w="80" w:type="dxa"/>
              <w:start w:w="110" w:type="dxa"/>
              <w:bottom w:w="80" w:type="dxa"/>
              <w:end w:w="110" w:type="dxa"/>
            </w:tcMar>
            <w:vAlign w:val="center"/>
          </w:tcPr>
          <w:p>
            <w:pPr>
              <w:widowControl/>
            </w:pPr>
            <w:r>
              <w:rPr>
                <w:rFonts w:ascii="Calibri" w:hAnsi="Calibri"/>
                <w:b/>
                <w:color w:val="FFFFFF"/>
                <w:sz w:val="14"/>
              </w:rPr>
              <w:t>Requirement / control</w:t>
            </w:r>
          </w:p>
        </w:tc>
        <w:tc>
          <w:tcPr>
            <w:tcW w:type="dxa" w:w="2232"/>
            <w:shd w:fill="17365D"/>
            <w:tcMar>
              <w:top w:w="80" w:type="dxa"/>
              <w:start w:w="110" w:type="dxa"/>
              <w:bottom w:w="80" w:type="dxa"/>
              <w:end w:w="110" w:type="dxa"/>
            </w:tcMar>
            <w:vAlign w:val="center"/>
          </w:tcPr>
          <w:p>
            <w:pPr>
              <w:widowControl/>
            </w:pPr>
            <w:r>
              <w:rPr>
                <w:rFonts w:ascii="Calibri" w:hAnsi="Calibri"/>
                <w:b/>
                <w:color w:val="FFFFFF"/>
                <w:sz w:val="14"/>
              </w:rPr>
              <w:t>Finding / root cause</w:t>
            </w:r>
          </w:p>
        </w:tc>
        <w:tc>
          <w:tcPr>
            <w:tcW w:type="dxa" w:w="936"/>
            <w:shd w:fill="17365D"/>
            <w:tcMar>
              <w:top w:w="80" w:type="dxa"/>
              <w:start w:w="110" w:type="dxa"/>
              <w:bottom w:w="80" w:type="dxa"/>
              <w:end w:w="110" w:type="dxa"/>
            </w:tcMar>
            <w:vAlign w:val="center"/>
          </w:tcPr>
          <w:p>
            <w:pPr>
              <w:widowControl/>
            </w:pPr>
            <w:r>
              <w:rPr>
                <w:rFonts w:ascii="Calibri" w:hAnsi="Calibri"/>
                <w:b/>
                <w:color w:val="FFFFFF"/>
                <w:sz w:val="14"/>
              </w:rPr>
              <w:t>Risk</w:t>
            </w:r>
          </w:p>
        </w:tc>
        <w:tc>
          <w:tcPr>
            <w:tcW w:type="dxa" w:w="1440"/>
            <w:shd w:fill="17365D"/>
            <w:tcMar>
              <w:top w:w="80" w:type="dxa"/>
              <w:start w:w="110" w:type="dxa"/>
              <w:bottom w:w="80" w:type="dxa"/>
              <w:end w:w="110" w:type="dxa"/>
            </w:tcMar>
            <w:vAlign w:val="center"/>
          </w:tcPr>
          <w:p>
            <w:pPr>
              <w:widowControl/>
            </w:pPr>
            <w:r>
              <w:rPr>
                <w:rFonts w:ascii="Calibri" w:hAnsi="Calibri"/>
                <w:b/>
                <w:color w:val="FFFFFF"/>
                <w:sz w:val="14"/>
              </w:rPr>
              <w:t>Owner / due</w:t>
            </w:r>
          </w:p>
        </w:tc>
        <w:tc>
          <w:tcPr>
            <w:tcW w:type="dxa" w:w="1224"/>
            <w:shd w:fill="17365D"/>
            <w:tcMar>
              <w:top w:w="80" w:type="dxa"/>
              <w:start w:w="110" w:type="dxa"/>
              <w:bottom w:w="80" w:type="dxa"/>
              <w:end w:w="110" w:type="dxa"/>
            </w:tcMar>
            <w:vAlign w:val="center"/>
          </w:tcPr>
          <w:p>
            <w:pPr>
              <w:widowControl/>
            </w:pPr>
            <w:r>
              <w:rPr>
                <w:rFonts w:ascii="Calibri" w:hAnsi="Calibri"/>
                <w:b/>
                <w:color w:val="FFFFFF"/>
                <w:sz w:val="14"/>
              </w:rPr>
              <w:t>Interim control</w:t>
            </w:r>
          </w:p>
        </w:tc>
        <w:tc>
          <w:tcPr>
            <w:tcW w:type="dxa" w:w="1166"/>
            <w:shd w:fill="17365D"/>
            <w:tcMar>
              <w:top w:w="80" w:type="dxa"/>
              <w:start w:w="110" w:type="dxa"/>
              <w:bottom w:w="80" w:type="dxa"/>
              <w:end w:w="110" w:type="dxa"/>
            </w:tcMar>
            <w:vAlign w:val="center"/>
          </w:tcPr>
          <w:p>
            <w:pPr>
              <w:widowControl/>
            </w:pPr>
            <w:r>
              <w:rPr>
                <w:rFonts w:ascii="Calibri" w:hAnsi="Calibri"/>
                <w:b/>
                <w:color w:val="FFFFFF"/>
                <w:sz w:val="14"/>
              </w:rPr>
              <w:t>Verification / closure</w:t>
            </w:r>
          </w:p>
        </w:tc>
      </w:tr>
      <w:tr>
        <w:trPr>
          <w:cantSplit/>
        </w:trPr>
        <w:tc>
          <w:tcPr>
            <w:tcW w:type="dxa" w:w="936"/>
            <w:tcMar>
              <w:top w:w="80" w:type="dxa"/>
              <w:start w:w="110" w:type="dxa"/>
              <w:bottom w:w="80" w:type="dxa"/>
              <w:end w:w="110" w:type="dxa"/>
            </w:tcMar>
            <w:vAlign w:val="center"/>
          </w:tcPr>
          <w:p>
            <w:pPr>
              <w:widowControl/>
              <w:spacing w:after="0"/>
            </w:pPr>
            <w:r>
              <w:rPr>
                <w:rFonts w:ascii="Calibri" w:hAnsi="Calibri"/>
                <w:b w:val="0"/>
                <w:color w:val="1F2937"/>
                <w:sz w:val="14"/>
              </w:rPr>
              <w:t>[F-001]</w:t>
            </w:r>
          </w:p>
        </w:tc>
        <w:tc>
          <w:tcPr>
            <w:tcW w:type="dxa" w:w="1944"/>
            <w:tcMar>
              <w:top w:w="80" w:type="dxa"/>
              <w:start w:w="110" w:type="dxa"/>
              <w:bottom w:w="80" w:type="dxa"/>
              <w:end w:w="110" w:type="dxa"/>
            </w:tcMar>
            <w:vAlign w:val="center"/>
          </w:tcPr>
          <w:p>
            <w:pPr>
              <w:widowControl/>
              <w:spacing w:after="0"/>
            </w:pPr>
            <w:r>
              <w:rPr>
                <w:rFonts w:ascii="Calibri" w:hAnsi="Calibri"/>
                <w:b w:val="0"/>
                <w:color w:val="1F2937"/>
                <w:sz w:val="14"/>
              </w:rPr>
              <w:t>[TRACEABILITY ID / SECTION]</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4"/>
              </w:rPr>
              <w:t>[ ]</w:t>
            </w:r>
          </w:p>
        </w:tc>
        <w:tc>
          <w:tcPr>
            <w:tcW w:type="dxa" w:w="936"/>
            <w:tcMar>
              <w:top w:w="80" w:type="dxa"/>
              <w:start w:w="110" w:type="dxa"/>
              <w:bottom w:w="80" w:type="dxa"/>
              <w:end w:w="110" w:type="dxa"/>
            </w:tcMar>
            <w:vAlign w:val="center"/>
          </w:tcPr>
          <w:p>
            <w:pPr>
              <w:widowControl/>
              <w:spacing w:after="0"/>
            </w:pPr>
            <w:r>
              <w:rPr>
                <w:rFonts w:ascii="Calibri" w:hAnsi="Calibri"/>
                <w:b w:val="0"/>
                <w:color w:val="1F2937"/>
                <w:sz w:val="14"/>
              </w:rPr>
              <w:t>[RATING]</w:t>
            </w:r>
          </w:p>
        </w:tc>
        <w:tc>
          <w:tcPr>
            <w:tcW w:type="dxa" w:w="1440"/>
            <w:tcMar>
              <w:top w:w="80" w:type="dxa"/>
              <w:start w:w="110" w:type="dxa"/>
              <w:bottom w:w="80" w:type="dxa"/>
              <w:end w:w="110" w:type="dxa"/>
            </w:tcMar>
            <w:vAlign w:val="center"/>
          </w:tcPr>
          <w:p>
            <w:pPr>
              <w:widowControl/>
              <w:spacing w:after="0"/>
            </w:pPr>
            <w:r>
              <w:rPr>
                <w:rFonts w:ascii="Calibri" w:hAnsi="Calibri"/>
                <w:b w:val="0"/>
                <w:color w:val="1F2937"/>
                <w:sz w:val="14"/>
              </w:rPr>
              <w:t>[ ]</w:t>
            </w:r>
          </w:p>
        </w:tc>
        <w:tc>
          <w:tcPr>
            <w:tcW w:type="dxa" w:w="1224"/>
            <w:tcMar>
              <w:top w:w="80" w:type="dxa"/>
              <w:start w:w="110" w:type="dxa"/>
              <w:bottom w:w="80" w:type="dxa"/>
              <w:end w:w="110" w:type="dxa"/>
            </w:tcMar>
            <w:vAlign w:val="center"/>
          </w:tcPr>
          <w:p>
            <w:pPr>
              <w:widowControl/>
              <w:spacing w:after="0"/>
            </w:pPr>
            <w:r>
              <w:rPr>
                <w:rFonts w:ascii="Calibri" w:hAnsi="Calibri"/>
                <w:b w:val="0"/>
                <w:color w:val="1F2937"/>
                <w:sz w:val="14"/>
              </w:rPr>
              <w:t>[ ]</w:t>
            </w:r>
          </w:p>
        </w:tc>
        <w:tc>
          <w:tcPr>
            <w:tcW w:type="dxa" w:w="1166"/>
            <w:tcMar>
              <w:top w:w="80" w:type="dxa"/>
              <w:start w:w="110" w:type="dxa"/>
              <w:bottom w:w="80" w:type="dxa"/>
              <w:end w:w="110" w:type="dxa"/>
            </w:tcMar>
            <w:vAlign w:val="center"/>
          </w:tcPr>
          <w:p>
            <w:pPr>
              <w:widowControl/>
              <w:spacing w:after="0"/>
            </w:pPr>
            <w:r>
              <w:rPr>
                <w:rFonts w:ascii="Calibri" w:hAnsi="Calibri"/>
                <w:b w:val="0"/>
                <w:color w:val="1F2937"/>
                <w:sz w:val="14"/>
              </w:rPr>
              <w:t>[ ]</w:t>
            </w:r>
          </w:p>
        </w:tc>
      </w:tr>
    </w:tbl>
    <w:p>
      <w:pPr>
        <w:widowControl/>
        <w:spacing w:after="0"/>
      </w:pPr>
    </w:p>
    <w:p>
      <w:pPr>
        <w:pStyle w:val="Heading1"/>
        <w:widowControl/>
      </w:pPr>
      <w:r>
        <w:t>Part E — Management-body resolution template</w:t>
      </w:r>
    </w:p>
    <w:p>
      <w:pPr>
        <w:widowControl/>
      </w:pPr>
      <w:r>
        <w:t>The management body has reviewed the report, its limitations, material findings, proposed corrective measures, resources and residual risks. It resolves to [APPROVE THE REPORT / REQUIRE CHANGES], approves [ACTIONS / BUDGET / RISK ACCEPTANCES], directs management to report progress [FREQUENCY], and sets the next review for [DATE] subject to earlier trigger events.</w:t>
      </w:r>
    </w:p>
    <w:p>
      <w:pPr>
        <w:widowControl/>
      </w:pPr>
      <w:r>
        <w:br w:type="page"/>
      </w:r>
    </w:p>
    <w:p>
      <w:pPr>
        <w:pStyle w:val="Heading1"/>
        <w:widowControl/>
      </w:pPr>
      <w:r>
        <w:t>Requirements addressed by this deliverable</w:t>
      </w:r>
    </w:p>
    <w:p>
      <w:pPr>
        <w:widowControl/>
      </w:pPr>
      <w:r>
        <w:t>This schedule is generated from the suite’s controlling traceability dataset. Primary and supporting mappings must be reconciled whenever this document changes. 89 requirement records are associated with D13.</w:t>
      </w:r>
    </w:p>
    <w:tbl>
      <w:tblPr>
        <w:tblStyle w:val="TableGrid"/>
        <w:tblW w:type="auto" w:w="0"/>
        <w:jc w:val="center"/>
        <w:tblLayout w:type="fixed"/>
        <w:tblLook w:firstColumn="1" w:firstRow="1" w:lastColumn="0" w:lastRow="0" w:noHBand="0" w:noVBand="1" w:val="04A0"/>
      </w:tblPr>
      <w:tblGrid>
        <w:gridCol w:w="1512"/>
        <w:gridCol w:w="1800"/>
        <w:gridCol w:w="1584"/>
        <w:gridCol w:w="2232"/>
        <w:gridCol w:w="2750"/>
      </w:tblGrid>
      <w:tr>
        <w:trPr>
          <w:tblHeader w:val="true"/>
        </w:trPr>
        <w:tc>
          <w:tcPr>
            <w:tcW w:type="dxa" w:w="1512"/>
            <w:shd w:fill="17365D"/>
            <w:tcMar>
              <w:top w:w="80" w:type="dxa"/>
              <w:start w:w="110" w:type="dxa"/>
              <w:bottom w:w="80" w:type="dxa"/>
              <w:end w:w="110" w:type="dxa"/>
            </w:tcMar>
            <w:vAlign w:val="center"/>
          </w:tcPr>
          <w:p>
            <w:pPr>
              <w:widowControl/>
            </w:pPr>
            <w:r>
              <w:rPr>
                <w:rFonts w:ascii="Calibri" w:hAnsi="Calibri"/>
                <w:b/>
                <w:color w:val="FFFFFF"/>
                <w:sz w:val="13"/>
              </w:rPr>
              <w:t>ID</w:t>
            </w:r>
          </w:p>
        </w:tc>
        <w:tc>
          <w:tcPr>
            <w:tcW w:type="dxa" w:w="1800"/>
            <w:shd w:fill="17365D"/>
            <w:tcMar>
              <w:top w:w="80" w:type="dxa"/>
              <w:start w:w="110" w:type="dxa"/>
              <w:bottom w:w="80" w:type="dxa"/>
              <w:end w:w="110" w:type="dxa"/>
            </w:tcMar>
            <w:vAlign w:val="center"/>
          </w:tcPr>
          <w:p>
            <w:pPr>
              <w:widowControl/>
            </w:pPr>
            <w:r>
              <w:rPr>
                <w:rFonts w:ascii="Calibri" w:hAnsi="Calibri"/>
                <w:b/>
                <w:color w:val="FFFFFF"/>
                <w:sz w:val="13"/>
              </w:rPr>
              <w:t>Reference</w:t>
            </w:r>
          </w:p>
        </w:tc>
        <w:tc>
          <w:tcPr>
            <w:tcW w:type="dxa" w:w="1584"/>
            <w:shd w:fill="17365D"/>
            <w:tcMar>
              <w:top w:w="80" w:type="dxa"/>
              <w:start w:w="110" w:type="dxa"/>
              <w:bottom w:w="80" w:type="dxa"/>
              <w:end w:w="110" w:type="dxa"/>
            </w:tcMar>
            <w:vAlign w:val="center"/>
          </w:tcPr>
          <w:p>
            <w:pPr>
              <w:widowControl/>
            </w:pPr>
            <w:r>
              <w:rPr>
                <w:rFonts w:ascii="Calibri" w:hAnsi="Calibri"/>
                <w:b/>
                <w:color w:val="FFFFFF"/>
                <w:sz w:val="13"/>
              </w:rPr>
              <w:t>Applicability</w:t>
            </w:r>
          </w:p>
        </w:tc>
        <w:tc>
          <w:tcPr>
            <w:tcW w:type="dxa" w:w="2232"/>
            <w:shd w:fill="17365D"/>
            <w:tcMar>
              <w:top w:w="80" w:type="dxa"/>
              <w:start w:w="110" w:type="dxa"/>
              <w:bottom w:w="80" w:type="dxa"/>
              <w:end w:w="110" w:type="dxa"/>
            </w:tcMar>
            <w:vAlign w:val="center"/>
          </w:tcPr>
          <w:p>
            <w:pPr>
              <w:widowControl/>
            </w:pPr>
            <w:r>
              <w:rPr>
                <w:rFonts w:ascii="Calibri" w:hAnsi="Calibri"/>
                <w:b/>
                <w:color w:val="FFFFFF"/>
                <w:sz w:val="13"/>
              </w:rPr>
              <w:t>Location / role</w:t>
            </w:r>
          </w:p>
        </w:tc>
        <w:tc>
          <w:tcPr>
            <w:tcW w:type="dxa" w:w="2750"/>
            <w:shd w:fill="17365D"/>
            <w:tcMar>
              <w:top w:w="80" w:type="dxa"/>
              <w:start w:w="110" w:type="dxa"/>
              <w:bottom w:w="80" w:type="dxa"/>
              <w:end w:w="110" w:type="dxa"/>
            </w:tcMar>
            <w:vAlign w:val="center"/>
          </w:tcPr>
          <w:p>
            <w:pPr>
              <w:widowControl/>
            </w:pPr>
            <w:r>
              <w:rPr>
                <w:rFonts w:ascii="Calibri" w:hAnsi="Calibri"/>
                <w:b/>
                <w:color w:val="FFFFFF"/>
                <w:sz w:val="13"/>
              </w:rPr>
              <w:t>Requirement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DORA-A16-P1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16(1)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Articles 5 to 15 of this Regulation shall not apply to small and non-interconnected investment firms, payment institutions exempted pursuant to Directive (EU) 2015/2366; institutions exempted pursuant to Direct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DORA-A16-P1-2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16(1)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Without prejudice to the first subparagraph, the entities listed in the first subparagraph shall:</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DORA-A16-P1-A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16(1)(a)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put in place and maintain a sound and documented ICT risk management framework that details the mechanisms and measures aimed at a quick, efficient and comprehensive management of ICT risk, including for the pr</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DORA-A16-P2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16(2)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B — Simplified framework review report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ICT risk management framework referred to in paragraph 1, second subparagraph, point (a), shall be documented and reviewed periodically and upon the occurrence of major ICT-related incidents in compliance w</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other than entities referred to in Article 16(1), first subparagraph, and other than microenterprises, which are identified in accordance with paragraph 8, third subparagraph, of this Articl</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DORA-A26-P10</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26(10)</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In the absence of a designation in accordance with paragraph 9 of this Article, and without prejudice to the power to identify the financial entities that are required to perform TLPT, a competent authority may</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DORA-A26-P11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26(11)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ESAs shall, in agreement with the ECB, develop joint draft regulatory technical standards in accordance with the TIBER-EU framework in order to specify further:</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DORA-A26-P11-22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26(11)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When developing those draft regulatory technical standards, the ESAs shall give due consideration to any specific feature arising from the distinct nature of activities across different financial services secto</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DORA-A26-P11-23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26(11)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ESAs shall submit those draft regulatory technical standards to the Commission by 17 July 2024.</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DORA-A26-P11-24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26(11)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Power is delegated to the Commission to supplement this Regulation by adopting the regulatory technical standards referred to in the first subparagraph in accordance with Articles 10 to 14 of Regulations (EU) 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DORA-A26-P11-A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26(11)(a)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criteria used for the purpose of the application of paragraph 8, second subparagraph;</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DORA-A26-P11-B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26(11)(b)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requirements and standards governing the use of internal testers;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DORA-A26-P11-C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26(11)(c)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requirements in relation to: (i) the scope of TLPT referred to in paragraph 2; (ii) the testing methodology and approach to be followed for each specific phase of the testing process; (iii) the results, clo</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DORA-A26-P11-D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26(11)(d)</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the type of supervisory and other relevant cooperation which are needed for the implementation of TLPT, and for the facilitation of mutual recognition of that testing, in the context of financial entities that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Each threat-led penetration test shall cover several or all critical or important functions of a financial entity, and shall be performed on live production systems supporting such functions.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DORA-A26-P2-3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identify all relevant underlying ICT systems, processes and technologies supporting critical or important functions and ICT services, including those supporting the critical or importan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DORA-A26-P2-4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assess which critical or important functions need to be covered by the TLPT. The result of this assessment shall determine the precise scope of TLPT and shall be validated by the compet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Where ICT third-party service providers are included in the scope of TLPT, the financial entity shall take the necessary measures and safeguards to ensure the participation of such ICT third-party service provi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26(4)</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Without prejudice to paragraph 2, first and second subparagraphs, where the participation of an ICT third-party service provider in the TLPT, referred to in paragraph 3, is reasonably expected to have an advers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DORA-A26-P4-7</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26(4)</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That pooled testing shall cover the relevant range of ICT services supporting critical or important functions contracted to the respective ICT third-party service provider by the financial entities. The pooled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DORA-A26-P4-8</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26(4)</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number of financial entities participating in the pooled testing shall be duly calibrated taking into account the complexity and types of services involved.</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26(5)</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with the cooperation of ICT third-party service providers and other parties involved, including the testers but excluding the competent authorities, apply effective risk management con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26(6)</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At the end of the testing, after reports and remediation plans have been agreed, the financial entity and, where applicable, the external testers shall provide to the authority, designated in accordance with pa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DORA-A26-P7</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26(7)</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Authorities shall provide financial entities with an attestation confirming that the test was performed in accordance with the requirements as evidenced in the documentation in order to allow for mutual recogni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DORA-A26-P7-12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26(7)</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Without prejudice to such attestation, financial entities shall remain at all times fully responsible for the impact of the tests referred to in paragraph 4.</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DORA-A26-P8</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26(8)</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contract testers for the purposes of undertaking TLPT in accordance with Article 27. When financial entities use internal testers for the purposes of undertaking TLPT, they shall contra</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DORA-A26-P8-14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26(8)</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Credit institutions that are classified as significant in accordance with Article 6(4) of Regulation (EU) No 1024/2013, shall only use external testers in accordance with Article 27(1), points (a) to (e).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DORA-A26-P8-15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26(8)</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Competent authorities shall identify financial entities that are required to perform TLPT taking into account the criteria set out in Article 4(2), based on an assessment of the following:</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DORA-A26-P8-A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26(8)(a)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impact-related factors, in particular the extent to which the services provided and activities undertaken by the financial entity impact the financial sector;</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DORA-A26-P8-B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26(8)(b)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possible financial stability concerns, including the systemic character of the financial entity at Union or national level, as applicable;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DORA-A26-P8-C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26(8)(c)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specific ICT risk profile, level of ICT maturity of the financial entity or technology features involved.</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DORA-A26-P9</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26(9)</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Member States may designate a single public authority in the financial sector to be responsible for TLPT-related matters in the financial sector at national level and shall entrust it with all competences and 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DORA-A27-P1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27(1)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only use testers for the carrying out of TLPT, that: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DORA-A27-P1-A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27(1)(a)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are of the highest suitability and reputability;</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DORA-A27-P1-B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27(1)(b)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possess technical and organisational capabilities and demonstrate specific expertise in threat intelligence, penetration testing and red team testing;</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DORA-A27-P1-C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27(1)(c)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are certified by an accreditation body in a Member State or adhere to formal codes of conduct or ethical frameworks;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DORA-A27-P1-D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27(1)(d)</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provide an independent assurance, or an audit report, in relation to the sound management of risks associated with the carrying out of TLPT, including the due protection of the financial entity’s confidential i</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DORA-A27-P1-E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27(1)(e)</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are duly and fully covered by relevant professional indemnity insurances, including against risks of misconduct and negligence.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DORA-A27-P2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27(2)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When using internal testers, financial entities shall ensure that, in addition to the requirements in paragraph 1, the following conditions are met: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DORA-A27-P2-A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27(2)(a)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such use has been approved by the relevant competent authority or by the single public authority designated in accordance with Article 26(9) and (10);</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DORA-A27-P2-B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27(2)(b)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relevant competent authority has verified that the financial entity has sufficient dedicated resources and ensured that conflicts of interest are avoided throughout the design and execution phases of the te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DORA-A27-P2-C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27(2)(c)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threat intelligence provider is external to the financial entity.</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DORA-A27-P3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27(3)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Financial entities shall ensure that contracts concluded with external testers require a sound management of the TLPT results and that any data processing thereof, including any generation, store, aggregation,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DORA-A04-P1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4(1)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Financial entities shall implement the rules laid down in Chapter II in accordance with the principle of proportionality, taking into account their size and overall risk profile, and the nature, scale and compl</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DORA-A04-P2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4(2)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In addition, the application by financial entities of Chapters III, IV and V, Section I, shall be proportionate to their size and overall risk profile, and to the nature, scale and complexity of their services,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DORA-A04-P3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4(3)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competent authorities shall consider the application of the proportionality principle by financial entities when reviewing the consistency of the ICT risk management framework on the basis of the reports su</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IS-ACT78-S1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IS_ACT78 Section 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DORA has force of law in Iceland with EEA adaptations under JCD No. 40/2025. The Act entered into force on 1 January 2026.</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IS-ACT78-S4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IS_ACT78 Section 4</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C — Findings and remediation tracker</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Supervisory Authority may require remediation within an appropriate period where requirements are not met.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IS-R310-A2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IS_RULE310 Article 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incorporated Level 2 measures govern ICT incident management/reporting, ICT-risk management, third-party use and, conditionally, TLPT.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RTS1190-A10</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 Article 10</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Following the approval of the scope specification document by the TLPT authority, the threat intelligence provider shall analyse generic and sector-specific threat intelligence relevant for the financial entity</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RTS1190-A11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RTS1190 Article 11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Following approval of the targeted threat intelligence report by the TLPT authority, the testers shall prepare the red team test plan that shall contain the information set out in Annex IV. The testers shall us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RTS1190-A12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 Article 12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Following the end of the active red team testing phase, the control team lead shall inform the blue team that a TLPT took place. Within 4 weeks from the end of the active red team testing phase, the testers sha</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RTS1190-A13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RTS1190 Article 13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Within 8 weeks from the notification referred to in Article 12(7) of this Regulation, the financial entity shall provide the remediation plans and the documentation referred to in Article 26(6) of Regulation (E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RTS1190-A14</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 Article 14</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attestation referred to in Article 26(7) of Regulation (EU) 2022/2554 shall contain the information set out in Annex VIII. Where several TLPT authorities have been involved in a TLPT, the lead TLPT authorit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RTS1190-A15</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RTS1190 Article 15</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establish all of the following arrangements for the use of internal testers: The policy referred to in point (a) shall: the establishment and implementation of a policy for the manageme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RTS1190-A16</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 Article 16</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For the purposes of conducting a TLPT in relation to a financial entity providing services in more than one Member State, including through a branch, its TLPT authority shall: The TLPT authorities of the host M</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RTS1190-A02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RTS1190 Article 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TLPT authorities shall assess whether any financial entity is required to perform TLPT, taking into account the impact of those financial entities, their systemic character and their ICT risk profile, on the ba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RTS1190-A03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 Article 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 TLPT authority shall assign the responsibility for coordinating TLPT-related activities to a TCT. A TCT shall be composed of test managers that are assigned to oversee an individual TLPT. For each test, the 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RTS1190-A04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RTS1190 Article 4</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Financial entities shall appoint a control team lead which shall be responsible for the day-to-day management of the TLPT and the decisions and actions of the control team. Financial entities shall establish or</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RTS1190-A05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 Article 5</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During the preparation phase referred to in Article 9, the control team shall assess the risks associated with the testing of live production systems of critical or important functions of the financial entity,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RTS1190-A06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RTS1190 Article 6</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In the case of a joint TLPT or a pooled TLPT, the control team of each financial entity shall conduct its own risk assessment and establish its own risk management measures. The control team of the designated f</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RTS1190-A07</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 Article 7</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control team shall take measures to manage the risks relating to the TLPT and shall in particular ensure that, for each TLPT: the threat intelligence provider and external testers provide the control team w</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RTS1190-A08</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RTS1190 Article 8</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Unless otherwise decided by the lead TLPT authority, where several financial entities, identified in accordance with Article 16(2) or (4), are involved in a pooled or joint TLPT, each financial entity shall fol</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RTS1190-A09</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RTS1190 Article 9</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Conditional — TLPT designation</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 financial entity identified pursuant to Article 26, paragraph 8, third subparagraph of Regulation (EU) 2022/2554 shall initiate a TLPT following a notification from the TLPT authority that a TLPT is to be car</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RTS1774-A28-P1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28(1)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The financial entities referred to in Article 16(1) of Regulation (EU) 2022/2554 shall have in place an internal governance and control framework that ensures an effective and prudent management of ICT risk to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RTS1774-A28-P2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28(2)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entities referred to in paragraph 1 shall, as part of their simplified ICT risk management framework, ensure that their management body:</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RTS1774-A28-P2-A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28(2)(a)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bears the overall responsibility for ensuring that the simplified ICT risk management framework allows for the achievement of the financial entity’s business strategy in accordance with the risk appetite of tha</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RTS1774-A28-P2-B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28(2)(b)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sets clear roles and responsibilities for all ICT-related tasks;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RTS1774-A28-P2-C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28(2)(c)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sets out information security objectives and ICT requirements;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RTS1774-A28-P2-D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28(2)(d)</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approves, oversees, and periodically reviews: (i) the classification of information assets of the financial entity as referred to in Article 30(1) of this Regulation, the list of main risks identified, and the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RTS1774-A28-P2-E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28(2)(e)</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allocates and reviews at least once a year the budget necessary to fulfil the financial entity’s digital operational resilience needs in respect of all types of resources, including relevant ICT security awaren</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RTS1774-A28-P2-F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28(2)(f)</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specifies and implements the policies and measures included in Chapters I, II and III of this Title to identify, assess and manage the ICT risk the financial entity is exposed to;</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RTS1774-A28-P2-G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28(2)(g)</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identifies and implements procedures, ICT protocols, and tools that are necessary to protect all information assets and ICT assets;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RTS1774-A28-P2-H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28(2)(h)</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ensures that the staff of the financial entity is kept up to date with sufficient knowledge and skills to understand and assess ICT risk and its impact on the operations of the financial entity, commensurate to</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RTS1774-A28-P2-I</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28(2)(i)</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establishes reporting arrangements, including the frequency, form, and content of reporting to the management body on the information security and digital operational resilience.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RTS1774-A28-P3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28(3)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entities referred to in paragraph 1 may, in accordance with Union and national sectoral law, outsource the tasks of verifying compliance with ICT risk management requirements to ICT intra-group or</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RTS1774-A28-P4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28(4)</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financial entities referred to in paragraph 1 shall ensure an appropriate segregation and the independence of control functions and internal audit functions.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RTS1774-A28-P5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28(5)</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entities referred to in paragraph 1 shall ensure that their simplified ICT risk management framework is subject to an internal audit by auditors, in line with the financial entities’ audit plan. 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RTS1774-A28-P6</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28(6)</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Based on the outcome of the audit referred to in paragraph 5, the financial entities referred to in paragraph 1 shall ensure the timely verification and remediation of critical ICT audit findings.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RTS1774-A41-P1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41(1)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B — Article 41 review report template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entities referred to in Article 16(1) of Regulation (EU) 2022/2554 shall submit the report on the review of the ICT risk management framework referred to in paragraph 2 of that Article in a search</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RTS1774-A41-P2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41(2)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B — Article 41 review report template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report referred to in paragraph 1 shall contain all of the following information:</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RTS1774-A41-P2-A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41(2)(a)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B — Article 41 review report template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an introductory section providing: (i) a description of the context of the report in terms of the nature, scale, and complexity of the financial entity’s services, activities, and operations, the financial enti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RTS1774-A41-P2-B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41(2)(b)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B — Article 41 review report template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where applicable, the date of the approval of the report by the management body of the financial entity;</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RTS1774-A41-P2-C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41(2)(c)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B — Article 41 review report template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 description of the reasons for the review, including: (i) where the review has been initiated following supervisory instructions, evidence of such instructions; (ii) where the review has been initiated follow</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RTS1774-A41-P2-D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41(2)(d)</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B — Article 41 review report template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start and end date of the review period;</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RTS1774-A41-P2-E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41(2)(e)</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B — Article 41 review report template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person responsible for the review;</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RTS1774-A41-P2-F</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41(2)(f)</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B — Article 41 review report template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 summary of findings, and a self-assessment of the severity of the weaknesses, deficiencies, and gaps identified in ICT risk management framework for the review period, including a detailed analysis thereof;</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RTS1774-A41-P2-G</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41(2)(g)</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Part B — Article 41 review report template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remedying measures identified to address weaknesses, deficiencies, and gaps in the simplified ICT risk management framework, and the expected date for implementing those measures, including the follow-up on wea</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RTS1774-A41-P2-H</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41(2)(h)</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Part B — Article 41 review report template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overall conclusions on the review of the simplified ICT risk management framework, including any further planned developments.</w:t>
            </w:r>
          </w:p>
        </w:tc>
      </w:tr>
    </w:tbl>
    <w:p>
      <w:pPr>
        <w:widowControl/>
        <w:spacing w:after="0"/>
      </w:pPr>
    </w:p>
    <w:p>
      <w:pPr>
        <w:pStyle w:val="Heading1"/>
        <w:widowControl/>
      </w:pPr>
      <w:r>
        <w:t>Official source register</w:t>
      </w:r>
    </w:p>
    <w:tbl>
      <w:tblPr>
        <w:tblStyle w:val="TableGrid"/>
        <w:tblW w:type="auto" w:w="0"/>
        <w:jc w:val="center"/>
        <w:tblLayout w:type="fixed"/>
        <w:tblLook w:firstColumn="1" w:firstRow="1" w:lastColumn="0" w:lastRow="0" w:noHBand="0" w:noVBand="1" w:val="04A0"/>
      </w:tblPr>
      <w:tblGrid>
        <w:gridCol w:w="3528"/>
        <w:gridCol w:w="6350"/>
      </w:tblGrid>
      <w:tr>
        <w:trPr>
          <w:tblHeader w:val="true"/>
        </w:trPr>
        <w:tc>
          <w:tcPr>
            <w:tcW w:type="dxa" w:w="3528"/>
            <w:shd w:fill="17365D"/>
            <w:tcMar>
              <w:top w:w="80" w:type="dxa"/>
              <w:start w:w="110" w:type="dxa"/>
              <w:bottom w:w="80" w:type="dxa"/>
              <w:end w:w="110" w:type="dxa"/>
            </w:tcMar>
            <w:vAlign w:val="center"/>
          </w:tcPr>
          <w:p>
            <w:pPr>
              <w:widowControl/>
            </w:pPr>
            <w:r>
              <w:rPr>
                <w:rFonts w:ascii="Calibri" w:hAnsi="Calibri"/>
                <w:b/>
                <w:color w:val="FFFFFF"/>
                <w:sz w:val="15"/>
              </w:rPr>
              <w:t>Source</w:t>
            </w:r>
          </w:p>
        </w:tc>
        <w:tc>
          <w:tcPr>
            <w:tcW w:type="dxa" w:w="6350"/>
            <w:shd w:fill="17365D"/>
            <w:tcMar>
              <w:top w:w="80" w:type="dxa"/>
              <w:start w:w="110" w:type="dxa"/>
              <w:bottom w:w="80" w:type="dxa"/>
              <w:end w:w="110" w:type="dxa"/>
            </w:tcMar>
            <w:vAlign w:val="center"/>
          </w:tcPr>
          <w:p>
            <w:pPr>
              <w:widowControl/>
            </w:pPr>
            <w:r>
              <w:rPr>
                <w:rFonts w:ascii="Calibri" w:hAnsi="Calibri"/>
                <w:b/>
                <w:color w:val="FFFFFF"/>
                <w:sz w:val="15"/>
              </w:rPr>
              <w:t>Official URL</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DORA</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https://eur-lex.europa.eu/eli/reg/2022/2554/oj/eng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Simplified ICT-risk RTS 2024/1774</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https://eur-lex.europa.eu/eli/reg_del/2024/1774/oj/eng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Incident classification RTS 2024/1772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https://eur-lex.europa.eu/eli/reg_del/2024/1772/oj/eng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Incident content/timing RTS 2025/301</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https://eur-lex.europa.eu/eli/reg_del/2025/301/oj/eng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Incident forms ITS 2025/302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https://eur-lex.europa.eu/eli/reg_impl/2025/302/oj/eng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Register ITS 2024/2956</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https://eur-lex.europa.eu/eli/reg_impl/2024/2956/oj/eng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Subcontracting RTS 2025/532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https://eur-lex.europa.eu/eli/reg_del/2025/532/oj/eng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Icelandic Act No. 78/2025</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https://www.althingi.is/lagas/nuna/2025078.html</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Central Bank Rules No. 310/2026</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https://island.is/stjornartidindi/nr/87da1483-6a2a-412a-9021-30b9a817ad51</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Central Bank DORA guidance</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https://sedlabanki.is/fjarmalaeftirlit/stafraenn-vidnamsthrottur-a-fjarmalamarkadi-dora/</w:t>
            </w:r>
          </w:p>
        </w:tc>
      </w:tr>
    </w:tbl>
    <w:p>
      <w:pPr>
        <w:widowControl/>
        <w:spacing w:after="0"/>
      </w:pPr>
    </w:p>
    <w:sectPr w:rsidR="00FC693F" w:rsidRPr="0006063C" w:rsidSect="00034616">
      <w:headerReference w:type="default" r:id="rId9"/>
      <w:footerReference w:type="default" r:id="rId10"/>
      <w:pgSz w:w="12240" w:h="15840"/>
      <w:pgMar w:top="1037" w:right="1181" w:bottom="979" w:left="1181" w:header="432"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tblLayout w:type="fixed"/>
      <w:tblLook w:firstColumn="1" w:firstRow="1" w:lastColumn="0" w:lastRow="0" w:noHBand="0" w:noVBand="1" w:val="04A0"/>
    </w:tblPr>
    <w:tblGrid>
      <w:gridCol w:w="3168"/>
      <w:gridCol w:w="3542"/>
      <w:gridCol w:w="3168"/>
    </w:tblGrid>
    <w:tr>
      <w:tc>
        <w:tcPr>
          <w:tcW w:type="dxa" w:w="3168"/>
          <w:tcMar>
            <w:top w:w="40" w:type="dxa"/>
            <w:start w:w="0" w:type="dxa"/>
            <w:bottom w:w="0" w:type="dxa"/>
            <w:end w:w="0" w:type="dxa"/>
          </w:tcMar>
        </w:tcPr>
        <w:p>
          <w:r>
            <w:rPr>
              <w:rFonts w:ascii="Calibri" w:hAnsi="Calibri"/>
              <w:b w:val="0"/>
              <w:color w:val="667085"/>
              <w:sz w:val="15"/>
            </w:rPr>
            <w:t>[FIRM NAME]</w:t>
          </w:r>
        </w:p>
      </w:tc>
      <w:tc>
        <w:tcPr>
          <w:tcW w:type="dxa" w:w="3542"/>
          <w:tcMar>
            <w:top w:w="40" w:type="dxa"/>
            <w:start w:w="0" w:type="dxa"/>
            <w:bottom w:w="0" w:type="dxa"/>
            <w:end w:w="0" w:type="dxa"/>
          </w:tcMar>
        </w:tcPr>
        <w:p>
          <w:pPr>
            <w:jc w:val="center"/>
          </w:pPr>
          <w:r>
            <w:rPr>
              <w:rFonts w:ascii="Calibri" w:hAnsi="Calibri"/>
              <w:b w:val="0"/>
              <w:color w:val="667085"/>
              <w:sz w:val="15"/>
            </w:rPr>
            <w:t>CONFIDENTIAL — CONTROLLED TEMPLATE</w:t>
          </w:r>
        </w:p>
      </w:tc>
      <w:tc>
        <w:tcPr>
          <w:tcW w:type="dxa" w:w="3168"/>
          <w:tcMar>
            <w:top w:w="40" w:type="dxa"/>
            <w:start w:w="0" w:type="dxa"/>
            <w:bottom w:w="0" w:type="dxa"/>
            <w:end w:w="0" w:type="dxa"/>
          </w:tcMar>
        </w:tcPr>
        <w:p>
          <w:pPr>
            <w:jc w:val="right"/>
          </w:pPr>
          <w:r>
            <w:rPr>
              <w:rFonts w:ascii="Calibri" w:hAnsi="Calibri"/>
              <w:b w:val="0"/>
              <w:color w:val="667085"/>
              <w:sz w:val="15"/>
            </w:rPr>
            <w:t xml:space="preserve">Page </w:t>
          </w:r>
          <w:r>
            <w:fldChar w:fldCharType="begin"/>
            <w:instrText xml:space="preserve">PAGE</w:instrText>
            <w:fldChar w:fldCharType="end"/>
          </w:r>
          <w:r>
            <w:rPr>
              <w:rFonts w:ascii="Calibri" w:hAnsi="Calibri"/>
              <w:b w:val="0"/>
              <w:color w:val="667085"/>
              <w:sz w:val="15"/>
            </w:rPr>
            <w:t xml:space="preserve"> of </w:t>
          </w:r>
          <w:r>
            <w:fldChar w:fldCharType="begin"/>
            <w:instrText xml:space="preserve">NUMPAGES</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b/>
        <w:color w:val="667085"/>
        <w:sz w:val="15"/>
      </w:rPr>
      <w:t>D13  |  INTERNAL AUDIT &amp; SIMPLIFIED FRAMEWORK REVIEW PACK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69" w:lineRule="auto"/>
    </w:pPr>
    <w:rPr>
      <w:rFonts w:ascii="Calibri" w:hAnsi="Calibri"/>
      <w:color w:val="1F2937"/>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Calibri" w:hAnsi="Calibri"/>
      <w:b/>
      <w:bCs/>
      <w:color w:val="1F4D78"/>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60"/>
      <w:ind w:left="461" w:hanging="259"/>
      <w:contextualSpacing/>
    </w:pPr>
    <w:rPr>
      <w:rFonts w:ascii="Calibri" w:hAnsi="Calibri"/>
      <w:sz w:val="20"/>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60"/>
      <w:ind w:left="461" w:hanging="259"/>
      <w:contextualSpacing/>
    </w:pPr>
    <w:rPr>
      <w:rFonts w:ascii="Calibri" w:hAnsi="Calibri"/>
      <w:sz w:val="20"/>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raftingNote">
    <w:name w:val="Drafting Note"/>
    <w:pPr>
      <w:spacing w:after="80"/>
    </w:pPr>
    <w:rPr>
      <w:rFonts w:ascii="Calibri" w:hAnsi="Calibri"/>
      <w:i/>
      <w:color w:val="667085"/>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Audit &amp; Simplified Framework Review Pack</dc:title>
  <dc:subject>Reusable internal template for an SNI investment firm</dc:subject>
  <dc:creator>DORA SNI Documentation &amp; Implementation Suite v1.0</dc:creator>
  <cp:keywords/>
  <dc:description>generated by python-docx</dc:description>
  <cp:lastModifiedBy/>
  <cp:revision>1</cp:revision>
  <dcterms:created xsi:type="dcterms:W3CDTF">2013-12-23T23:15:00Z</dcterms:created>
  <dcterms:modified xsi:type="dcterms:W3CDTF">2013-12-23T23:15:00Z</dcterms:modified>
  <cp:category/>
</cp:coreProperties>
</file>