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widowControl/>
        <w:spacing w:after="720"/>
      </w:pPr>
    </w:p>
    <w:p>
      <w:pPr>
        <w:widowControl/>
        <w:spacing w:after="240"/>
      </w:pPr>
      <w:r>
        <w:rPr>
          <w:rFonts w:ascii="Calibri" w:hAnsi="Calibri"/>
          <w:b/>
          <w:color w:val="0F6B78"/>
          <w:sz w:val="34"/>
        </w:rPr>
        <w:t>D12</w:t>
      </w:r>
    </w:p>
    <w:p>
      <w:pPr>
        <w:widowControl/>
        <w:spacing w:after="240" w:line="235" w:lineRule="auto"/>
      </w:pPr>
      <w:r>
        <w:rPr>
          <w:rFonts w:ascii="Calibri" w:hAnsi="Calibri"/>
          <w:b/>
          <w:color w:val="17365D"/>
          <w:sz w:val="54"/>
        </w:rPr>
        <w:t>ICT/DORA Training Programme &amp; Records</w:t>
      </w:r>
    </w:p>
    <w:p>
      <w:pPr>
        <w:widowControl/>
        <w:spacing w:after="560"/>
      </w:pPr>
      <w:r>
        <w:rPr>
          <w:rFonts w:ascii="Calibri" w:hAnsi="Calibri"/>
          <w:b/>
          <w:color w:val="FFFFFF"/>
          <w:sz w:val="20"/>
          <w:shd w:fill="0F6B78"/>
        </w:rPr>
        <w:t>TRAINING PROGRAMME TEMPLATE</w:t>
      </w:r>
    </w:p>
    <w:tbl>
      <w:tblPr>
        <w:tblW w:type="auto" w:w="0"/>
        <w:jc w:val="left"/>
        <w:tblLayout w:type="fixed"/>
        <w:tblLook w:firstColumn="1" w:firstRow="1" w:lastColumn="0" w:lastRow="0" w:noHBand="0" w:noVBand="1" w:val="04A0"/>
      </w:tblPr>
      <w:tblGrid>
        <w:gridCol w:w="2448"/>
        <w:gridCol w:w="7430"/>
      </w:tblGrid>
      <w:tr>
        <w:tc>
          <w:tcPr>
            <w:tcW w:type="dxa" w:w="2448"/>
            <w:shd w:fill="E8EEF5"/>
            <w:tcMar>
              <w:top w:w="90" w:type="dxa"/>
              <w:start w:w="120" w:type="dxa"/>
              <w:bottom w:w="90" w:type="dxa"/>
              <w:end w:w="120" w:type="dxa"/>
            </w:tcMar>
            <w:vAlign w:val="center"/>
          </w:tcPr>
          <w:p>
            <w:pPr>
              <w:widowControl/>
            </w:pPr>
            <w:r>
              <w:rPr>
                <w:rFonts w:ascii="Calibri" w:hAnsi="Calibri"/>
                <w:b/>
                <w:color w:val="1F4D78"/>
                <w:sz w:val="16"/>
              </w:rPr>
              <w:t>ENTITY</w:t>
            </w:r>
          </w:p>
        </w:tc>
        <w:tc>
          <w:tcPr>
            <w:tcW w:type="dxa" w:w="7430"/>
            <w:tcMar>
              <w:top w:w="90" w:type="dxa"/>
              <w:start w:w="120" w:type="dxa"/>
              <w:bottom w:w="90" w:type="dxa"/>
              <w:end w:w="120" w:type="dxa"/>
            </w:tcMar>
            <w:vAlign w:val="center"/>
          </w:tcPr>
          <w:p>
            <w:pPr>
              <w:widowControl/>
            </w:pPr>
            <w:r>
              <w:rPr>
                <w:rFonts w:ascii="Calibri" w:hAnsi="Calibri"/>
                <w:b/>
                <w:color w:val="17365D"/>
                <w:sz w:val="18"/>
                <w:shd w:fill="FFF2CC"/>
              </w:rPr>
              <w:t>[ENTITY LEGAL NAME]</w:t>
            </w:r>
          </w:p>
        </w:tc>
      </w:tr>
      <w:tr>
        <w:tc>
          <w:tcPr>
            <w:tcW w:type="dxa" w:w="2448"/>
            <w:shd w:fill="E8EEF5"/>
            <w:tcMar>
              <w:top w:w="90" w:type="dxa"/>
              <w:start w:w="120" w:type="dxa"/>
              <w:bottom w:w="90" w:type="dxa"/>
              <w:end w:w="120" w:type="dxa"/>
            </w:tcMar>
            <w:vAlign w:val="center"/>
          </w:tcPr>
          <w:p>
            <w:pPr>
              <w:widowControl/>
            </w:pPr>
            <w:r>
              <w:rPr>
                <w:rFonts w:ascii="Calibri" w:hAnsi="Calibri"/>
                <w:b/>
                <w:color w:val="1F4D78"/>
                <w:sz w:val="16"/>
              </w:rPr>
              <w:t>OWNER</w:t>
            </w:r>
          </w:p>
        </w:tc>
        <w:tc>
          <w:tcPr>
            <w:tcW w:type="dxa" w:w="7430"/>
            <w:tcMar>
              <w:top w:w="90" w:type="dxa"/>
              <w:start w:w="120" w:type="dxa"/>
              <w:bottom w:w="90" w:type="dxa"/>
              <w:end w:w="120" w:type="dxa"/>
            </w:tcMar>
            <w:vAlign w:val="center"/>
          </w:tcPr>
          <w:p>
            <w:pPr>
              <w:widowControl/>
            </w:pPr>
            <w:r>
              <w:rPr>
                <w:rFonts w:ascii="Calibri" w:hAnsi="Calibri"/>
                <w:b/>
                <w:color w:val="17365D"/>
                <w:sz w:val="18"/>
                <w:shd w:fill="FFF2CC"/>
              </w:rPr>
              <w:t>[ROLE / FUNCTION]</w:t>
            </w:r>
          </w:p>
        </w:tc>
      </w:tr>
      <w:tr>
        <w:tc>
          <w:tcPr>
            <w:tcW w:type="dxa" w:w="2448"/>
            <w:shd w:fill="E8EEF5"/>
            <w:tcMar>
              <w:top w:w="90" w:type="dxa"/>
              <w:start w:w="120" w:type="dxa"/>
              <w:bottom w:w="90" w:type="dxa"/>
              <w:end w:w="120" w:type="dxa"/>
            </w:tcMar>
            <w:vAlign w:val="center"/>
          </w:tcPr>
          <w:p>
            <w:pPr>
              <w:widowControl/>
            </w:pPr>
            <w:r>
              <w:rPr>
                <w:rFonts w:ascii="Calibri" w:hAnsi="Calibri"/>
                <w:b/>
                <w:color w:val="1F4D78"/>
                <w:sz w:val="16"/>
              </w:rPr>
              <w:t>APPROVER</w:t>
            </w:r>
          </w:p>
        </w:tc>
        <w:tc>
          <w:tcPr>
            <w:tcW w:type="dxa" w:w="7430"/>
            <w:tcMar>
              <w:top w:w="90" w:type="dxa"/>
              <w:start w:w="120" w:type="dxa"/>
              <w:bottom w:w="90" w:type="dxa"/>
              <w:end w:w="120" w:type="dxa"/>
            </w:tcMar>
            <w:vAlign w:val="center"/>
          </w:tcPr>
          <w:p>
            <w:pPr>
              <w:widowControl/>
            </w:pPr>
            <w:r>
              <w:rPr>
                <w:rFonts w:ascii="Calibri" w:hAnsi="Calibri"/>
                <w:b/>
                <w:color w:val="17365D"/>
                <w:sz w:val="18"/>
                <w:shd w:fill="FFF2CC"/>
              </w:rPr>
              <w:t>[BOARD / MANAGEMENT BODY / EXECUTIVE]</w:t>
            </w:r>
          </w:p>
        </w:tc>
      </w:tr>
      <w:tr>
        <w:tc>
          <w:tcPr>
            <w:tcW w:type="dxa" w:w="2448"/>
            <w:shd w:fill="E8EEF5"/>
            <w:tcMar>
              <w:top w:w="90" w:type="dxa"/>
              <w:start w:w="120" w:type="dxa"/>
              <w:bottom w:w="90" w:type="dxa"/>
              <w:end w:w="120" w:type="dxa"/>
            </w:tcMar>
            <w:vAlign w:val="center"/>
          </w:tcPr>
          <w:p>
            <w:pPr>
              <w:widowControl/>
            </w:pPr>
            <w:r>
              <w:rPr>
                <w:rFonts w:ascii="Calibri" w:hAnsi="Calibri"/>
                <w:b/>
                <w:color w:val="1F4D78"/>
                <w:sz w:val="16"/>
              </w:rPr>
              <w:t>VERSION</w:t>
            </w:r>
          </w:p>
        </w:tc>
        <w:tc>
          <w:tcPr>
            <w:tcW w:type="dxa" w:w="7430"/>
            <w:tcMar>
              <w:top w:w="90" w:type="dxa"/>
              <w:start w:w="120" w:type="dxa"/>
              <w:bottom w:w="90" w:type="dxa"/>
              <w:end w:w="120" w:type="dxa"/>
            </w:tcMar>
            <w:vAlign w:val="center"/>
          </w:tcPr>
          <w:p>
            <w:pPr>
              <w:widowControl/>
            </w:pPr>
            <w:r>
              <w:rPr>
                <w:rFonts w:ascii="Calibri" w:hAnsi="Calibri"/>
                <w:b/>
                <w:color w:val="17365D"/>
                <w:sz w:val="18"/>
                <w:shd w:fill="FFF2CC"/>
              </w:rPr>
              <w:t>[1.0]</w:t>
            </w:r>
          </w:p>
        </w:tc>
      </w:tr>
      <w:tr>
        <w:tc>
          <w:tcPr>
            <w:tcW w:type="dxa" w:w="2448"/>
            <w:shd w:fill="E8EEF5"/>
            <w:tcMar>
              <w:top w:w="90" w:type="dxa"/>
              <w:start w:w="120" w:type="dxa"/>
              <w:bottom w:w="90" w:type="dxa"/>
              <w:end w:w="120" w:type="dxa"/>
            </w:tcMar>
            <w:vAlign w:val="center"/>
          </w:tcPr>
          <w:p>
            <w:pPr>
              <w:widowControl/>
            </w:pPr>
            <w:r>
              <w:rPr>
                <w:rFonts w:ascii="Calibri" w:hAnsi="Calibri"/>
                <w:b/>
                <w:color w:val="1F4D78"/>
                <w:sz w:val="16"/>
              </w:rPr>
              <w:t>EFFECTIVE DATE</w:t>
            </w:r>
          </w:p>
        </w:tc>
        <w:tc>
          <w:tcPr>
            <w:tcW w:type="dxa" w:w="7430"/>
            <w:tcMar>
              <w:top w:w="90" w:type="dxa"/>
              <w:start w:w="120" w:type="dxa"/>
              <w:bottom w:w="90" w:type="dxa"/>
              <w:end w:w="120" w:type="dxa"/>
            </w:tcMar>
            <w:vAlign w:val="center"/>
          </w:tcPr>
          <w:p>
            <w:pPr>
              <w:widowControl/>
            </w:pPr>
            <w:r>
              <w:rPr>
                <w:rFonts w:ascii="Calibri" w:hAnsi="Calibri"/>
                <w:b/>
                <w:color w:val="17365D"/>
                <w:sz w:val="18"/>
                <w:shd w:fill="FFF2CC"/>
              </w:rPr>
              <w:t>[DD MONTH YYYY]</w:t>
            </w:r>
          </w:p>
        </w:tc>
      </w:tr>
      <w:tr>
        <w:tc>
          <w:tcPr>
            <w:tcW w:type="dxa" w:w="2448"/>
            <w:shd w:fill="E8EEF5"/>
            <w:tcMar>
              <w:top w:w="90" w:type="dxa"/>
              <w:start w:w="120" w:type="dxa"/>
              <w:bottom w:w="90" w:type="dxa"/>
              <w:end w:w="120" w:type="dxa"/>
            </w:tcMar>
            <w:vAlign w:val="center"/>
          </w:tcPr>
          <w:p>
            <w:pPr>
              <w:widowControl/>
            </w:pPr>
            <w:r>
              <w:rPr>
                <w:rFonts w:ascii="Calibri" w:hAnsi="Calibri"/>
                <w:b/>
                <w:color w:val="1F4D78"/>
                <w:sz w:val="16"/>
              </w:rPr>
              <w:t>NEXT REVIEW</w:t>
            </w:r>
          </w:p>
        </w:tc>
        <w:tc>
          <w:tcPr>
            <w:tcW w:type="dxa" w:w="7430"/>
            <w:tcMar>
              <w:top w:w="90" w:type="dxa"/>
              <w:start w:w="120" w:type="dxa"/>
              <w:bottom w:w="90" w:type="dxa"/>
              <w:end w:w="120" w:type="dxa"/>
            </w:tcMar>
            <w:vAlign w:val="center"/>
          </w:tcPr>
          <w:p>
            <w:pPr>
              <w:widowControl/>
            </w:pPr>
            <w:r>
              <w:rPr>
                <w:rFonts w:ascii="Calibri" w:hAnsi="Calibri"/>
                <w:b/>
                <w:color w:val="17365D"/>
                <w:sz w:val="18"/>
                <w:shd w:fill="FFF2CC"/>
              </w:rPr>
              <w:t>[DD MONTH YYYY]</w:t>
            </w:r>
          </w:p>
        </w:tc>
      </w:tr>
    </w:tbl>
    <w:p>
      <w:pPr>
        <w:widowControl/>
        <w:spacing w:after="280"/>
      </w:pP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158"/>
        <w:gridCol w:w="9720"/>
      </w:tblGrid>
      <w:tr>
        <w:tc>
          <w:tcPr>
            <w:tcW w:type="dxa" w:w="158"/>
            <w:shd w:fill="9B1C1C"/>
            <w:tcMar>
              <w:top w:w="0" w:type="dxa"/>
              <w:start w:w="0" w:type="dxa"/>
              <w:bottom w:w="0" w:type="dxa"/>
              <w:end w:w="0" w:type="dxa"/>
            </w:tcMar>
            <w:vAlign w:val="center"/>
          </w:tcPr>
          <w:p>
            <w:pPr>
              <w:widowControl/>
            </w:pPr>
          </w:p>
        </w:tc>
        <w:tc>
          <w:tcPr>
            <w:tcW w:type="dxa" w:w="9720"/>
            <w:shd w:fill="FFF5F5"/>
            <w:tcMar>
              <w:top w:w="100" w:type="dxa"/>
              <w:start w:w="145" w:type="dxa"/>
              <w:bottom w:w="100" w:type="dxa"/>
              <w:end w:w="145" w:type="dxa"/>
            </w:tcMar>
            <w:vAlign w:val="center"/>
          </w:tcPr>
          <w:p>
            <w:pPr>
              <w:widowControl/>
            </w:pPr>
            <w:r>
              <w:rPr>
                <w:rFonts w:ascii="Calibri" w:hAnsi="Calibri"/>
                <w:b/>
                <w:color w:val="9B1C1C"/>
                <w:sz w:val="17"/>
              </w:rPr>
              <w:t>TEMPLATE STATUS</w:t>
            </w:r>
            <w:r>
              <w:rPr>
                <w:rFonts w:ascii="Calibri" w:hAnsi="Calibri"/>
              </w:rPr>
              <w:br/>
              <w:t>Complete and validate every yellow-bracketed field. Delete drafting notes before approval. Technical controls, inventories, provider facts, tests and audit conclusions must not be assumed or invented.</w:t>
            </w:r>
          </w:p>
        </w:tc>
      </w:tr>
    </w:tbl>
    <w:p>
      <w:pPr>
        <w:widowControl/>
        <w:spacing w:after="0"/>
      </w:pPr>
    </w:p>
    <w:p>
      <w:pPr>
        <w:widowControl/>
      </w:pPr>
      <w:r>
        <w:br w:type="page"/>
      </w:r>
    </w:p>
    <w:p>
      <w:pPr>
        <w:pStyle w:val="Heading1"/>
        <w:widowControl/>
      </w:pPr>
      <w:r>
        <w:t>Document control and approval</w:t>
      </w:r>
    </w:p>
    <w:tbl>
      <w:tblPr>
        <w:tblStyle w:val="TableGrid"/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2520"/>
        <w:gridCol w:w="7358"/>
      </w:tblGrid>
      <w:tr>
        <w:trPr>
          <w:tblHeader w:val="true"/>
        </w:trPr>
        <w:tc>
          <w:tcPr>
            <w:tcW w:type="dxa" w:w="2520"/>
            <w:shd w:fill="17365D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widowControl/>
            </w:pPr>
            <w:r>
              <w:rPr>
                <w:rFonts w:ascii="Calibri" w:hAnsi="Calibri"/>
                <w:b/>
                <w:color w:val="FFFFFF"/>
                <w:sz w:val="17"/>
              </w:rPr>
              <w:t>Field</w:t>
            </w:r>
          </w:p>
        </w:tc>
        <w:tc>
          <w:tcPr>
            <w:tcW w:type="dxa" w:w="7358"/>
            <w:shd w:fill="17365D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widowControl/>
            </w:pPr>
            <w:r>
              <w:rPr>
                <w:rFonts w:ascii="Calibri" w:hAnsi="Calibri"/>
                <w:b/>
                <w:color w:val="FFFFFF"/>
                <w:sz w:val="17"/>
              </w:rPr>
              <w:t>Controlled value</w:t>
            </w:r>
          </w:p>
        </w:tc>
      </w:tr>
      <w:tr>
        <w:trPr>
          <w:cantSplit/>
        </w:trPr>
        <w:tc>
          <w:tcPr>
            <w:tcW w:type="dxa" w:w="252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widowControl/>
              <w:spacing w:after="0"/>
            </w:pPr>
            <w:r>
              <w:rPr>
                <w:rFonts w:ascii="Calibri" w:hAnsi="Calibri"/>
                <w:b/>
                <w:color w:val="1F4D78"/>
                <w:sz w:val="17"/>
              </w:rPr>
              <w:t>Document ID</w:t>
            </w:r>
          </w:p>
        </w:tc>
        <w:tc>
          <w:tcPr>
            <w:tcW w:type="dxa" w:w="7358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widowControl/>
              <w:spacing w:after="0"/>
            </w:pPr>
            <w:r>
              <w:rPr>
                <w:rFonts w:ascii="Calibri" w:hAnsi="Calibri"/>
                <w:b w:val="0"/>
                <w:color w:val="1F2937"/>
                <w:sz w:val="17"/>
              </w:rPr>
              <w:t>D12</w:t>
            </w:r>
          </w:p>
        </w:tc>
      </w:tr>
      <w:tr>
        <w:trPr>
          <w:cantSplit/>
        </w:trPr>
        <w:tc>
          <w:tcPr>
            <w:tcW w:type="dxa" w:w="252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  <w:shd w:fill="F8FAFC"/>
          </w:tcPr>
          <w:p>
            <w:pPr>
              <w:widowControl/>
              <w:spacing w:after="0"/>
            </w:pPr>
            <w:r>
              <w:rPr>
                <w:rFonts w:ascii="Calibri" w:hAnsi="Calibri"/>
                <w:b/>
                <w:color w:val="1F4D78"/>
                <w:sz w:val="17"/>
              </w:rPr>
              <w:t>Document title</w:t>
            </w:r>
          </w:p>
        </w:tc>
        <w:tc>
          <w:tcPr>
            <w:tcW w:type="dxa" w:w="7358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  <w:shd w:fill="F8FAFC"/>
          </w:tcPr>
          <w:p>
            <w:pPr>
              <w:widowControl/>
              <w:spacing w:after="0"/>
            </w:pPr>
            <w:r>
              <w:rPr>
                <w:rFonts w:ascii="Calibri" w:hAnsi="Calibri"/>
                <w:b w:val="0"/>
                <w:color w:val="1F2937"/>
                <w:sz w:val="17"/>
              </w:rPr>
              <w:t>ICT/DORA Training Programme &amp; Records</w:t>
            </w:r>
          </w:p>
        </w:tc>
      </w:tr>
      <w:tr>
        <w:trPr>
          <w:cantSplit/>
        </w:trPr>
        <w:tc>
          <w:tcPr>
            <w:tcW w:type="dxa" w:w="252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widowControl/>
              <w:spacing w:after="0"/>
            </w:pPr>
            <w:r>
              <w:rPr>
                <w:rFonts w:ascii="Calibri" w:hAnsi="Calibri"/>
                <w:b/>
                <w:color w:val="1F4D78"/>
                <w:sz w:val="17"/>
              </w:rPr>
              <w:t>Owner</w:t>
            </w:r>
          </w:p>
        </w:tc>
        <w:tc>
          <w:tcPr>
            <w:tcW w:type="dxa" w:w="7358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widowControl/>
              <w:spacing w:after="0"/>
            </w:pPr>
            <w:r>
              <w:rPr>
                <w:rFonts w:ascii="Calibri" w:hAnsi="Calibri"/>
                <w:b w:val="0"/>
                <w:color w:val="1F2937"/>
                <w:sz w:val="17"/>
              </w:rPr>
              <w:t>[Training / DORA Owner]</w:t>
            </w:r>
          </w:p>
        </w:tc>
      </w:tr>
      <w:tr>
        <w:trPr>
          <w:cantSplit/>
        </w:trPr>
        <w:tc>
          <w:tcPr>
            <w:tcW w:type="dxa" w:w="252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  <w:shd w:fill="F8FAFC"/>
          </w:tcPr>
          <w:p>
            <w:pPr>
              <w:widowControl/>
              <w:spacing w:after="0"/>
            </w:pPr>
            <w:r>
              <w:rPr>
                <w:rFonts w:ascii="Calibri" w:hAnsi="Calibri"/>
                <w:b/>
                <w:color w:val="1F4D78"/>
                <w:sz w:val="17"/>
              </w:rPr>
              <w:t>Approval authority</w:t>
            </w:r>
          </w:p>
        </w:tc>
        <w:tc>
          <w:tcPr>
            <w:tcW w:type="dxa" w:w="7358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  <w:shd w:fill="F8FAFC"/>
          </w:tcPr>
          <w:p>
            <w:pPr>
              <w:widowControl/>
              <w:spacing w:after="0"/>
            </w:pPr>
            <w:r>
              <w:rPr>
                <w:rFonts w:ascii="Calibri" w:hAnsi="Calibri"/>
                <w:b w:val="0"/>
                <w:color w:val="1F2937"/>
                <w:sz w:val="17"/>
              </w:rPr>
              <w:t>Management body / delegated executive</w:t>
            </w:r>
          </w:p>
        </w:tc>
      </w:tr>
      <w:tr>
        <w:trPr>
          <w:cantSplit/>
        </w:trPr>
        <w:tc>
          <w:tcPr>
            <w:tcW w:type="dxa" w:w="252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widowControl/>
              <w:spacing w:after="0"/>
            </w:pPr>
            <w:r>
              <w:rPr>
                <w:rFonts w:ascii="Calibri" w:hAnsi="Calibri"/>
                <w:b/>
                <w:color w:val="1F4D78"/>
                <w:sz w:val="17"/>
              </w:rPr>
              <w:t>Version</w:t>
            </w:r>
          </w:p>
        </w:tc>
        <w:tc>
          <w:tcPr>
            <w:tcW w:type="dxa" w:w="7358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widowControl/>
              <w:spacing w:after="0"/>
            </w:pPr>
            <w:r>
              <w:rPr>
                <w:rFonts w:ascii="Calibri" w:hAnsi="Calibri"/>
                <w:b w:val="0"/>
                <w:color w:val="1F2937"/>
                <w:sz w:val="17"/>
              </w:rPr>
              <w:t>[1.0]</w:t>
            </w:r>
          </w:p>
        </w:tc>
      </w:tr>
      <w:tr>
        <w:trPr>
          <w:cantSplit/>
        </w:trPr>
        <w:tc>
          <w:tcPr>
            <w:tcW w:type="dxa" w:w="252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  <w:shd w:fill="F8FAFC"/>
          </w:tcPr>
          <w:p>
            <w:pPr>
              <w:widowControl/>
              <w:spacing w:after="0"/>
            </w:pPr>
            <w:r>
              <w:rPr>
                <w:rFonts w:ascii="Calibri" w:hAnsi="Calibri"/>
                <w:b/>
                <w:color w:val="1F4D78"/>
                <w:sz w:val="17"/>
              </w:rPr>
              <w:t>Effective date</w:t>
            </w:r>
          </w:p>
        </w:tc>
        <w:tc>
          <w:tcPr>
            <w:tcW w:type="dxa" w:w="7358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  <w:shd w:fill="F8FAFC"/>
          </w:tcPr>
          <w:p>
            <w:pPr>
              <w:widowControl/>
              <w:spacing w:after="0"/>
            </w:pPr>
            <w:r>
              <w:rPr>
                <w:rFonts w:ascii="Calibri" w:hAnsi="Calibri"/>
                <w:b w:val="0"/>
                <w:color w:val="1F2937"/>
                <w:sz w:val="17"/>
              </w:rPr>
              <w:t>[DD MONTH YYYY]</w:t>
            </w:r>
          </w:p>
        </w:tc>
      </w:tr>
      <w:tr>
        <w:trPr>
          <w:cantSplit/>
        </w:trPr>
        <w:tc>
          <w:tcPr>
            <w:tcW w:type="dxa" w:w="252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widowControl/>
              <w:spacing w:after="0"/>
            </w:pPr>
            <w:r>
              <w:rPr>
                <w:rFonts w:ascii="Calibri" w:hAnsi="Calibri"/>
                <w:b/>
                <w:color w:val="1F4D78"/>
                <w:sz w:val="17"/>
              </w:rPr>
              <w:t>Review cycle</w:t>
            </w:r>
          </w:p>
        </w:tc>
        <w:tc>
          <w:tcPr>
            <w:tcW w:type="dxa" w:w="7358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widowControl/>
              <w:spacing w:after="0"/>
            </w:pPr>
            <w:r>
              <w:rPr>
                <w:rFonts w:ascii="Calibri" w:hAnsi="Calibri"/>
                <w:b w:val="0"/>
                <w:color w:val="1F2937"/>
                <w:sz w:val="17"/>
              </w:rPr>
              <w:t>Annual programme and on material change/role entry</w:t>
            </w:r>
          </w:p>
        </w:tc>
      </w:tr>
      <w:tr>
        <w:trPr>
          <w:cantSplit/>
        </w:trPr>
        <w:tc>
          <w:tcPr>
            <w:tcW w:type="dxa" w:w="252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  <w:shd w:fill="F8FAFC"/>
          </w:tcPr>
          <w:p>
            <w:pPr>
              <w:widowControl/>
              <w:spacing w:after="0"/>
            </w:pPr>
            <w:r>
              <w:rPr>
                <w:rFonts w:ascii="Calibri" w:hAnsi="Calibri"/>
                <w:b/>
                <w:color w:val="1F4D78"/>
                <w:sz w:val="17"/>
              </w:rPr>
              <w:t>Classification</w:t>
            </w:r>
          </w:p>
        </w:tc>
        <w:tc>
          <w:tcPr>
            <w:tcW w:type="dxa" w:w="7358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  <w:shd w:fill="F8FAFC"/>
          </w:tcPr>
          <w:p>
            <w:pPr>
              <w:widowControl/>
              <w:spacing w:after="0"/>
            </w:pPr>
            <w:r>
              <w:rPr>
                <w:rFonts w:ascii="Calibri" w:hAnsi="Calibri"/>
                <w:b w:val="0"/>
                <w:color w:val="1F2937"/>
                <w:sz w:val="17"/>
              </w:rPr>
              <w:t>Confidential — Internal</w:t>
            </w:r>
          </w:p>
        </w:tc>
      </w:tr>
    </w:tbl>
    <w:p>
      <w:pPr>
        <w:widowControl/>
        <w:spacing w:after="0"/>
      </w:pPr>
    </w:p>
    <w:p>
      <w:pPr>
        <w:pStyle w:val="Heading2"/>
        <w:widowControl/>
      </w:pPr>
      <w:r>
        <w:t>Approval record</w:t>
      </w:r>
    </w:p>
    <w:tbl>
      <w:tblPr>
        <w:tblStyle w:val="TableGrid"/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2880"/>
        <w:gridCol w:w="2376"/>
        <w:gridCol w:w="3024"/>
        <w:gridCol w:w="1598"/>
      </w:tblGrid>
      <w:tr>
        <w:trPr>
          <w:tblHeader w:val="true"/>
        </w:trPr>
        <w:tc>
          <w:tcPr>
            <w:tcW w:type="dxa" w:w="2880"/>
            <w:shd w:fill="17365D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widowControl/>
            </w:pPr>
            <w:r>
              <w:rPr>
                <w:rFonts w:ascii="Calibri" w:hAnsi="Calibri"/>
                <w:b/>
                <w:color w:val="FFFFFF"/>
                <w:sz w:val="16"/>
              </w:rPr>
              <w:t>Approver</w:t>
            </w:r>
          </w:p>
        </w:tc>
        <w:tc>
          <w:tcPr>
            <w:tcW w:type="dxa" w:w="2376"/>
            <w:shd w:fill="17365D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widowControl/>
            </w:pPr>
            <w:r>
              <w:rPr>
                <w:rFonts w:ascii="Calibri" w:hAnsi="Calibri"/>
                <w:b/>
                <w:color w:val="FFFFFF"/>
                <w:sz w:val="16"/>
              </w:rPr>
              <w:t>Capacity</w:t>
            </w:r>
          </w:p>
        </w:tc>
        <w:tc>
          <w:tcPr>
            <w:tcW w:type="dxa" w:w="3024"/>
            <w:shd w:fill="17365D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widowControl/>
            </w:pPr>
            <w:r>
              <w:rPr>
                <w:rFonts w:ascii="Calibri" w:hAnsi="Calibri"/>
                <w:b/>
                <w:color w:val="FFFFFF"/>
                <w:sz w:val="16"/>
              </w:rPr>
              <w:t>Decision</w:t>
            </w:r>
          </w:p>
        </w:tc>
        <w:tc>
          <w:tcPr>
            <w:tcW w:type="dxa" w:w="1598"/>
            <w:shd w:fill="17365D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widowControl/>
            </w:pPr>
            <w:r>
              <w:rPr>
                <w:rFonts w:ascii="Calibri" w:hAnsi="Calibri"/>
                <w:b/>
                <w:color w:val="FFFFFF"/>
                <w:sz w:val="16"/>
              </w:rPr>
              <w:t>Date</w:t>
            </w:r>
          </w:p>
        </w:tc>
      </w:tr>
      <w:tr>
        <w:trPr>
          <w:cantSplit/>
        </w:trPr>
        <w:tc>
          <w:tcPr>
            <w:tcW w:type="dxa" w:w="288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widowControl/>
              <w:spacing w:after="0"/>
            </w:pPr>
            <w:r>
              <w:rPr>
                <w:rFonts w:ascii="Calibri" w:hAnsi="Calibri"/>
                <w:b w:val="0"/>
                <w:color w:val="1F2937"/>
                <w:sz w:val="16"/>
              </w:rPr>
              <w:t>[NAME]</w:t>
            </w:r>
          </w:p>
        </w:tc>
        <w:tc>
          <w:tcPr>
            <w:tcW w:type="dxa" w:w="2376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widowControl/>
              <w:spacing w:after="0"/>
            </w:pPr>
            <w:r>
              <w:rPr>
                <w:rFonts w:ascii="Calibri" w:hAnsi="Calibri"/>
                <w:b w:val="0"/>
                <w:color w:val="1F2937"/>
                <w:sz w:val="16"/>
              </w:rPr>
              <w:t>[ROLE]</w:t>
            </w:r>
          </w:p>
        </w:tc>
        <w:tc>
          <w:tcPr>
            <w:tcW w:type="dxa" w:w="3024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widowControl/>
              <w:spacing w:after="0"/>
            </w:pPr>
            <w:r>
              <w:rPr>
                <w:rFonts w:ascii="Calibri" w:hAnsi="Calibri"/>
                <w:b w:val="0"/>
                <w:color w:val="1F2937"/>
                <w:sz w:val="16"/>
              </w:rPr>
              <w:t>Approved / conditional</w:t>
            </w:r>
          </w:p>
        </w:tc>
        <w:tc>
          <w:tcPr>
            <w:tcW w:type="dxa" w:w="1598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widowControl/>
              <w:spacing w:after="0"/>
            </w:pPr>
            <w:r>
              <w:rPr>
                <w:rFonts w:ascii="Calibri" w:hAnsi="Calibri"/>
                <w:b w:val="0"/>
                <w:color w:val="1F2937"/>
                <w:sz w:val="16"/>
              </w:rPr>
              <w:t>[DATE]</w:t>
            </w:r>
          </w:p>
        </w:tc>
      </w:tr>
      <w:tr>
        <w:trPr>
          <w:cantSplit/>
        </w:trPr>
        <w:tc>
          <w:tcPr>
            <w:tcW w:type="dxa" w:w="288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  <w:shd w:fill="F8FAFC"/>
          </w:tcPr>
          <w:p>
            <w:pPr>
              <w:widowControl/>
              <w:spacing w:after="0"/>
            </w:pPr>
            <w:r>
              <w:rPr>
                <w:rFonts w:ascii="Calibri" w:hAnsi="Calibri"/>
                <w:b w:val="0"/>
                <w:color w:val="1F2937"/>
                <w:sz w:val="16"/>
              </w:rPr>
              <w:t>[NAME]</w:t>
            </w:r>
          </w:p>
        </w:tc>
        <w:tc>
          <w:tcPr>
            <w:tcW w:type="dxa" w:w="2376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  <w:shd w:fill="F8FAFC"/>
          </w:tcPr>
          <w:p>
            <w:pPr>
              <w:widowControl/>
              <w:spacing w:after="0"/>
            </w:pPr>
            <w:r>
              <w:rPr>
                <w:rFonts w:ascii="Calibri" w:hAnsi="Calibri"/>
                <w:b w:val="0"/>
                <w:color w:val="1F2937"/>
                <w:sz w:val="16"/>
              </w:rPr>
              <w:t>[ROLE]</w:t>
            </w:r>
          </w:p>
        </w:tc>
        <w:tc>
          <w:tcPr>
            <w:tcW w:type="dxa" w:w="3024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  <w:shd w:fill="F8FAFC"/>
          </w:tcPr>
          <w:p>
            <w:pPr>
              <w:widowControl/>
              <w:spacing w:after="0"/>
            </w:pPr>
            <w:r>
              <w:rPr>
                <w:rFonts w:ascii="Calibri" w:hAnsi="Calibri"/>
                <w:b w:val="0"/>
                <w:color w:val="1F2937"/>
                <w:sz w:val="16"/>
              </w:rPr>
              <w:t>Approved / conditional</w:t>
            </w:r>
          </w:p>
        </w:tc>
        <w:tc>
          <w:tcPr>
            <w:tcW w:type="dxa" w:w="1598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  <w:shd w:fill="F8FAFC"/>
          </w:tcPr>
          <w:p>
            <w:pPr>
              <w:widowControl/>
              <w:spacing w:after="0"/>
            </w:pPr>
            <w:r>
              <w:rPr>
                <w:rFonts w:ascii="Calibri" w:hAnsi="Calibri"/>
                <w:b w:val="0"/>
                <w:color w:val="1F2937"/>
                <w:sz w:val="16"/>
              </w:rPr>
              <w:t>[DATE]</w:t>
            </w:r>
          </w:p>
        </w:tc>
      </w:tr>
    </w:tbl>
    <w:p>
      <w:pPr>
        <w:widowControl/>
        <w:spacing w:after="0"/>
      </w:pPr>
    </w:p>
    <w:p>
      <w:pPr>
        <w:pStyle w:val="Heading2"/>
        <w:widowControl/>
      </w:pPr>
      <w:r>
        <w:t>Version history</w:t>
      </w:r>
    </w:p>
    <w:tbl>
      <w:tblPr>
        <w:tblStyle w:val="TableGrid"/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1080"/>
        <w:gridCol w:w="1440"/>
        <w:gridCol w:w="5256"/>
        <w:gridCol w:w="2102"/>
      </w:tblGrid>
      <w:tr>
        <w:trPr>
          <w:tblHeader w:val="true"/>
        </w:trPr>
        <w:tc>
          <w:tcPr>
            <w:tcW w:type="dxa" w:w="1080"/>
            <w:shd w:fill="17365D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widowControl/>
            </w:pPr>
            <w:r>
              <w:rPr>
                <w:rFonts w:ascii="Calibri" w:hAnsi="Calibri"/>
                <w:b/>
                <w:color w:val="FFFFFF"/>
                <w:sz w:val="16"/>
              </w:rPr>
              <w:t>Version</w:t>
            </w:r>
          </w:p>
        </w:tc>
        <w:tc>
          <w:tcPr>
            <w:tcW w:type="dxa" w:w="1440"/>
            <w:shd w:fill="17365D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widowControl/>
            </w:pPr>
            <w:r>
              <w:rPr>
                <w:rFonts w:ascii="Calibri" w:hAnsi="Calibri"/>
                <w:b/>
                <w:color w:val="FFFFFF"/>
                <w:sz w:val="16"/>
              </w:rPr>
              <w:t>Date</w:t>
            </w:r>
          </w:p>
        </w:tc>
        <w:tc>
          <w:tcPr>
            <w:tcW w:type="dxa" w:w="5256"/>
            <w:shd w:fill="17365D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widowControl/>
            </w:pPr>
            <w:r>
              <w:rPr>
                <w:rFonts w:ascii="Calibri" w:hAnsi="Calibri"/>
                <w:b/>
                <w:color w:val="FFFFFF"/>
                <w:sz w:val="16"/>
              </w:rPr>
              <w:t>Change</w:t>
            </w:r>
          </w:p>
        </w:tc>
        <w:tc>
          <w:tcPr>
            <w:tcW w:type="dxa" w:w="2102"/>
            <w:shd w:fill="17365D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widowControl/>
            </w:pPr>
            <w:r>
              <w:rPr>
                <w:rFonts w:ascii="Calibri" w:hAnsi="Calibri"/>
                <w:b/>
                <w:color w:val="FFFFFF"/>
                <w:sz w:val="16"/>
              </w:rPr>
              <w:t>Author</w:t>
            </w:r>
          </w:p>
        </w:tc>
      </w:tr>
      <w:tr>
        <w:trPr>
          <w:cantSplit/>
        </w:trPr>
        <w:tc>
          <w:tcPr>
            <w:tcW w:type="dxa" w:w="108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widowControl/>
              <w:spacing w:after="0"/>
            </w:pPr>
            <w:r>
              <w:rPr>
                <w:rFonts w:ascii="Calibri" w:hAnsi="Calibri"/>
                <w:b w:val="0"/>
                <w:color w:val="1F2937"/>
                <w:sz w:val="16"/>
              </w:rPr>
              <w:t>0.1</w:t>
            </w:r>
          </w:p>
        </w:tc>
        <w:tc>
          <w:tcPr>
            <w:tcW w:type="dxa" w:w="144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widowControl/>
              <w:spacing w:after="0"/>
            </w:pPr>
            <w:r>
              <w:rPr>
                <w:rFonts w:ascii="Calibri" w:hAnsi="Calibri"/>
                <w:b w:val="0"/>
                <w:color w:val="1F2937"/>
                <w:sz w:val="16"/>
              </w:rPr>
              <w:t>[DATE]</w:t>
            </w:r>
          </w:p>
        </w:tc>
        <w:tc>
          <w:tcPr>
            <w:tcW w:type="dxa" w:w="5256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widowControl/>
              <w:spacing w:after="0"/>
            </w:pPr>
            <w:r>
              <w:rPr>
                <w:rFonts w:ascii="Calibri" w:hAnsi="Calibri"/>
                <w:b w:val="0"/>
                <w:color w:val="1F2937"/>
                <w:sz w:val="16"/>
              </w:rPr>
              <w:t>Initial template tailoring</w:t>
            </w:r>
          </w:p>
        </w:tc>
        <w:tc>
          <w:tcPr>
            <w:tcW w:type="dxa" w:w="2102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widowControl/>
              <w:spacing w:after="0"/>
            </w:pPr>
            <w:r>
              <w:rPr>
                <w:rFonts w:ascii="Calibri" w:hAnsi="Calibri"/>
                <w:b w:val="0"/>
                <w:color w:val="1F2937"/>
                <w:sz w:val="16"/>
              </w:rPr>
              <w:t>[NAME]</w:t>
            </w:r>
          </w:p>
        </w:tc>
      </w:tr>
      <w:tr>
        <w:trPr>
          <w:cantSplit/>
        </w:trPr>
        <w:tc>
          <w:tcPr>
            <w:tcW w:type="dxa" w:w="108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  <w:shd w:fill="F8FAFC"/>
          </w:tcPr>
          <w:p>
            <w:pPr>
              <w:widowControl/>
              <w:spacing w:after="0"/>
            </w:pPr>
            <w:r>
              <w:rPr>
                <w:rFonts w:ascii="Calibri" w:hAnsi="Calibri"/>
                <w:b w:val="0"/>
                <w:color w:val="1F2937"/>
                <w:sz w:val="16"/>
              </w:rPr>
              <w:t>1.0</w:t>
            </w:r>
          </w:p>
        </w:tc>
        <w:tc>
          <w:tcPr>
            <w:tcW w:type="dxa" w:w="144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  <w:shd w:fill="F8FAFC"/>
          </w:tcPr>
          <w:p>
            <w:pPr>
              <w:widowControl/>
              <w:spacing w:after="0"/>
            </w:pPr>
            <w:r>
              <w:rPr>
                <w:rFonts w:ascii="Calibri" w:hAnsi="Calibri"/>
                <w:b w:val="0"/>
                <w:color w:val="1F2937"/>
                <w:sz w:val="16"/>
              </w:rPr>
              <w:t>[DATE]</w:t>
            </w:r>
          </w:p>
        </w:tc>
        <w:tc>
          <w:tcPr>
            <w:tcW w:type="dxa" w:w="5256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  <w:shd w:fill="F8FAFC"/>
          </w:tcPr>
          <w:p>
            <w:pPr>
              <w:widowControl/>
              <w:spacing w:after="0"/>
            </w:pPr>
            <w:r>
              <w:rPr>
                <w:rFonts w:ascii="Calibri" w:hAnsi="Calibri"/>
                <w:b w:val="0"/>
                <w:color w:val="1F2937"/>
                <w:sz w:val="16"/>
              </w:rPr>
              <w:t>First approved version</w:t>
            </w:r>
          </w:p>
        </w:tc>
        <w:tc>
          <w:tcPr>
            <w:tcW w:type="dxa" w:w="2102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  <w:shd w:fill="F8FAFC"/>
          </w:tcPr>
          <w:p>
            <w:pPr>
              <w:widowControl/>
              <w:spacing w:after="0"/>
            </w:pPr>
            <w:r>
              <w:rPr>
                <w:rFonts w:ascii="Calibri" w:hAnsi="Calibri"/>
                <w:b w:val="0"/>
                <w:color w:val="1F2937"/>
                <w:sz w:val="16"/>
              </w:rPr>
              <w:t>[NAME]</w:t>
            </w:r>
          </w:p>
        </w:tc>
      </w:tr>
    </w:tbl>
    <w:p>
      <w:pPr>
        <w:widowControl/>
        <w:spacing w:after="0"/>
      </w:pPr>
    </w:p>
    <w:p>
      <w:pPr>
        <w:pStyle w:val="Heading1"/>
        <w:widowControl/>
      </w:pPr>
      <w:r>
        <w:t>1. Objective and training principles</w:t>
      </w:r>
    </w:p>
    <w:p>
      <w:pPr>
        <w:widowControl/>
      </w:pPr>
      <w:r>
        <w:t>The programme builds sufficient knowledge and behaviour for each role to manage ICT risk and digital operational resilience. Training is risk- and role-based, refreshed periodically, recorded, assessed and improved using incident, testing, threat and control evidence. Attendance alone is not proof of understanding.</w:t>
      </w:r>
    </w:p>
    <w:p>
      <w:pPr>
        <w:pStyle w:val="Heading1"/>
        <w:widowControl/>
      </w:pPr>
      <w:r>
        <w:t>2. Audience and curriculum</w:t>
      </w:r>
    </w:p>
    <w:tbl>
      <w:tblPr>
        <w:tblStyle w:val="TableGrid"/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2160"/>
        <w:gridCol w:w="7718"/>
      </w:tblGrid>
      <w:tr>
        <w:trPr>
          <w:tblHeader w:val="true"/>
        </w:trPr>
        <w:tc>
          <w:tcPr>
            <w:tcW w:type="dxa" w:w="2160"/>
            <w:shd w:fill="17365D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widowControl/>
            </w:pPr>
            <w:r>
              <w:rPr>
                <w:rFonts w:ascii="Calibri" w:hAnsi="Calibri"/>
                <w:b/>
                <w:color w:val="FFFFFF"/>
                <w:sz w:val="16"/>
              </w:rPr>
              <w:t>Audience</w:t>
            </w:r>
          </w:p>
        </w:tc>
        <w:tc>
          <w:tcPr>
            <w:tcW w:type="dxa" w:w="7718"/>
            <w:shd w:fill="17365D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widowControl/>
            </w:pPr>
            <w:r>
              <w:rPr>
                <w:rFonts w:ascii="Calibri" w:hAnsi="Calibri"/>
                <w:b/>
                <w:color w:val="FFFFFF"/>
                <w:sz w:val="16"/>
              </w:rPr>
              <w:t>Minimum curriculum</w:t>
            </w:r>
          </w:p>
        </w:tc>
      </w:tr>
      <w:tr>
        <w:trPr>
          <w:cantSplit/>
        </w:trPr>
        <w:tc>
          <w:tcPr>
            <w:tcW w:type="dxa" w:w="216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widowControl/>
              <w:spacing w:after="0"/>
            </w:pPr>
            <w:r>
              <w:rPr>
                <w:rFonts w:ascii="Calibri" w:hAnsi="Calibri"/>
                <w:b/>
                <w:color w:val="1F4D78"/>
                <w:sz w:val="16"/>
              </w:rPr>
              <w:t>Management body</w:t>
            </w:r>
          </w:p>
        </w:tc>
        <w:tc>
          <w:tcPr>
            <w:tcW w:type="dxa" w:w="7718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widowControl/>
              <w:spacing w:after="0"/>
            </w:pPr>
            <w:r>
              <w:rPr>
                <w:rFonts w:ascii="Calibri" w:hAnsi="Calibri"/>
                <w:b w:val="0"/>
                <w:color w:val="1F2937"/>
                <w:sz w:val="16"/>
              </w:rPr>
              <w:t>DORA accountability; simplified framework; risk tolerance; critical functions; incidents/reporting; providers/contracts; testing; assurance; decisions and resources.</w:t>
            </w:r>
          </w:p>
        </w:tc>
      </w:tr>
      <w:tr>
        <w:trPr>
          <w:cantSplit/>
        </w:trPr>
        <w:tc>
          <w:tcPr>
            <w:tcW w:type="dxa" w:w="216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  <w:shd w:fill="F8FAFC"/>
          </w:tcPr>
          <w:p>
            <w:pPr>
              <w:widowControl/>
              <w:spacing w:after="0"/>
            </w:pPr>
            <w:r>
              <w:rPr>
                <w:rFonts w:ascii="Calibri" w:hAnsi="Calibri"/>
                <w:b/>
                <w:color w:val="1F4D78"/>
                <w:sz w:val="16"/>
              </w:rPr>
              <w:t>All personnel</w:t>
            </w:r>
          </w:p>
        </w:tc>
        <w:tc>
          <w:tcPr>
            <w:tcW w:type="dxa" w:w="7718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  <w:shd w:fill="F8FAFC"/>
          </w:tcPr>
          <w:p>
            <w:pPr>
              <w:widowControl/>
              <w:spacing w:after="0"/>
            </w:pPr>
            <w:r>
              <w:rPr>
                <w:rFonts w:ascii="Calibri" w:hAnsi="Calibri"/>
                <w:b w:val="0"/>
                <w:color w:val="1F2937"/>
                <w:sz w:val="16"/>
              </w:rPr>
              <w:t>Security responsibilities; phishing/social engineering; credentials/MFA; data handling; remote work; reporting events; continuity instructions.</w:t>
            </w:r>
          </w:p>
        </w:tc>
      </w:tr>
      <w:tr>
        <w:trPr>
          <w:cantSplit/>
        </w:trPr>
        <w:tc>
          <w:tcPr>
            <w:tcW w:type="dxa" w:w="216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widowControl/>
              <w:spacing w:after="0"/>
            </w:pPr>
            <w:r>
              <w:rPr>
                <w:rFonts w:ascii="Calibri" w:hAnsi="Calibri"/>
                <w:b/>
                <w:color w:val="1F4D78"/>
                <w:sz w:val="16"/>
              </w:rPr>
              <w:t>ICT / administrators</w:t>
            </w:r>
          </w:p>
        </w:tc>
        <w:tc>
          <w:tcPr>
            <w:tcW w:type="dxa" w:w="7718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widowControl/>
              <w:spacing w:after="0"/>
            </w:pPr>
            <w:r>
              <w:rPr>
                <w:rFonts w:ascii="Calibri" w:hAnsi="Calibri"/>
                <w:b w:val="0"/>
                <w:color w:val="1F2937"/>
                <w:sz w:val="16"/>
              </w:rPr>
              <w:t>Privileged access; secure configuration; patching; logging; backup; evidence; change; incident response; provider controls.</w:t>
            </w:r>
          </w:p>
        </w:tc>
      </w:tr>
      <w:tr>
        <w:trPr>
          <w:cantSplit/>
        </w:trPr>
        <w:tc>
          <w:tcPr>
            <w:tcW w:type="dxa" w:w="216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  <w:shd w:fill="F8FAFC"/>
          </w:tcPr>
          <w:p>
            <w:pPr>
              <w:widowControl/>
              <w:spacing w:after="0"/>
            </w:pPr>
            <w:r>
              <w:rPr>
                <w:rFonts w:ascii="Calibri" w:hAnsi="Calibri"/>
                <w:b/>
                <w:color w:val="1F4D78"/>
                <w:sz w:val="16"/>
              </w:rPr>
              <w:t>Incident team</w:t>
            </w:r>
          </w:p>
        </w:tc>
        <w:tc>
          <w:tcPr>
            <w:tcW w:type="dxa" w:w="7718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  <w:shd w:fill="F8FAFC"/>
          </w:tcPr>
          <w:p>
            <w:pPr>
              <w:widowControl/>
              <w:spacing w:after="0"/>
            </w:pPr>
            <w:r>
              <w:rPr>
                <w:rFonts w:ascii="Calibri" w:hAnsi="Calibri"/>
                <w:b w:val="0"/>
                <w:color w:val="1F2937"/>
                <w:sz w:val="16"/>
              </w:rPr>
              <w:t>Triage; classification thresholds; reporting deadlines/forms; Central Bank portal; evidence; communications; post-incident review.</w:t>
            </w:r>
          </w:p>
        </w:tc>
      </w:tr>
      <w:tr>
        <w:trPr>
          <w:cantSplit/>
        </w:trPr>
        <w:tc>
          <w:tcPr>
            <w:tcW w:type="dxa" w:w="216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widowControl/>
              <w:spacing w:after="0"/>
            </w:pPr>
            <w:r>
              <w:rPr>
                <w:rFonts w:ascii="Calibri" w:hAnsi="Calibri"/>
                <w:b/>
                <w:color w:val="1F4D78"/>
                <w:sz w:val="16"/>
              </w:rPr>
              <w:t>Business / asset owners</w:t>
            </w:r>
          </w:p>
        </w:tc>
        <w:tc>
          <w:tcPr>
            <w:tcW w:type="dxa" w:w="7718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widowControl/>
              <w:spacing w:after="0"/>
            </w:pPr>
            <w:r>
              <w:rPr>
                <w:rFonts w:ascii="Calibri" w:hAnsi="Calibri"/>
                <w:b w:val="0"/>
                <w:color w:val="1F2937"/>
                <w:sz w:val="16"/>
              </w:rPr>
              <w:t>Criticality, classification, access approval, BIA/RTO/RPO, risk ownership, provider and control validation.</w:t>
            </w:r>
          </w:p>
        </w:tc>
      </w:tr>
      <w:tr>
        <w:trPr>
          <w:cantSplit/>
        </w:trPr>
        <w:tc>
          <w:tcPr>
            <w:tcW w:type="dxa" w:w="216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  <w:shd w:fill="F8FAFC"/>
          </w:tcPr>
          <w:p>
            <w:pPr>
              <w:widowControl/>
              <w:spacing w:after="0"/>
            </w:pPr>
            <w:r>
              <w:rPr>
                <w:rFonts w:ascii="Calibri" w:hAnsi="Calibri"/>
                <w:b/>
                <w:color w:val="1F4D78"/>
                <w:sz w:val="16"/>
              </w:rPr>
              <w:t>Third-party / legal</w:t>
            </w:r>
          </w:p>
        </w:tc>
        <w:tc>
          <w:tcPr>
            <w:tcW w:type="dxa" w:w="7718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  <w:shd w:fill="F8FAFC"/>
          </w:tcPr>
          <w:p>
            <w:pPr>
              <w:widowControl/>
              <w:spacing w:after="0"/>
            </w:pPr>
            <w:r>
              <w:rPr>
                <w:rFonts w:ascii="Calibri" w:hAnsi="Calibri"/>
                <w:b w:val="0"/>
                <w:color w:val="1F2937"/>
                <w:sz w:val="16"/>
              </w:rPr>
              <w:t>Criticality; due diligence; Article 30; register; notification; subcontracting; concentration; exit.</w:t>
            </w:r>
          </w:p>
        </w:tc>
      </w:tr>
      <w:tr>
        <w:trPr>
          <w:cantSplit/>
        </w:trPr>
        <w:tc>
          <w:tcPr>
            <w:tcW w:type="dxa" w:w="216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widowControl/>
              <w:spacing w:after="0"/>
            </w:pPr>
            <w:r>
              <w:rPr>
                <w:rFonts w:ascii="Calibri" w:hAnsi="Calibri"/>
                <w:b/>
                <w:color w:val="1F4D78"/>
                <w:sz w:val="16"/>
              </w:rPr>
              <w:t>Compliance / risk / audit</w:t>
            </w:r>
          </w:p>
        </w:tc>
        <w:tc>
          <w:tcPr>
            <w:tcW w:type="dxa" w:w="7718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widowControl/>
              <w:spacing w:after="0"/>
            </w:pPr>
            <w:r>
              <w:rPr>
                <w:rFonts w:ascii="Calibri" w:hAnsi="Calibri"/>
                <w:b w:val="0"/>
                <w:color w:val="1F2937"/>
                <w:sz w:val="16"/>
              </w:rPr>
              <w:t>Applicability; monitoring; independent challenge; test/audit planning; Article 41 review; traceability.</w:t>
            </w:r>
          </w:p>
        </w:tc>
      </w:tr>
    </w:tbl>
    <w:p>
      <w:pPr>
        <w:widowControl/>
        <w:spacing w:after="0"/>
      </w:pPr>
    </w:p>
    <w:p>
      <w:pPr>
        <w:pStyle w:val="Heading1"/>
        <w:widowControl/>
      </w:pPr>
      <w:r>
        <w:t>3. Frequency and triggers</w:t>
      </w:r>
    </w:p>
    <w:tbl>
      <w:tblPr>
        <w:tblStyle w:val="TableGrid"/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2520"/>
        <w:gridCol w:w="7358"/>
      </w:tblGrid>
      <w:tr>
        <w:trPr>
          <w:tblHeader w:val="true"/>
        </w:trPr>
        <w:tc>
          <w:tcPr>
            <w:tcW w:type="dxa" w:w="2520"/>
            <w:shd w:fill="17365D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widowControl/>
            </w:pPr>
            <w:r>
              <w:rPr>
                <w:rFonts w:ascii="Calibri" w:hAnsi="Calibri"/>
                <w:b/>
                <w:color w:val="FFFFFF"/>
                <w:sz w:val="16"/>
              </w:rPr>
              <w:t>Training</w:t>
            </w:r>
          </w:p>
        </w:tc>
        <w:tc>
          <w:tcPr>
            <w:tcW w:type="dxa" w:w="7358"/>
            <w:shd w:fill="17365D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widowControl/>
            </w:pPr>
            <w:r>
              <w:rPr>
                <w:rFonts w:ascii="Calibri" w:hAnsi="Calibri"/>
                <w:b/>
                <w:color w:val="FFFFFF"/>
                <w:sz w:val="16"/>
              </w:rPr>
              <w:t>Timing</w:t>
            </w:r>
          </w:p>
        </w:tc>
      </w:tr>
      <w:tr>
        <w:trPr>
          <w:cantSplit/>
        </w:trPr>
        <w:tc>
          <w:tcPr>
            <w:tcW w:type="dxa" w:w="252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widowControl/>
              <w:spacing w:after="0"/>
            </w:pPr>
            <w:r>
              <w:rPr>
                <w:rFonts w:ascii="Calibri" w:hAnsi="Calibri"/>
                <w:b/>
                <w:color w:val="1F4D78"/>
                <w:sz w:val="16"/>
              </w:rPr>
              <w:t>Induction</w:t>
            </w:r>
          </w:p>
        </w:tc>
        <w:tc>
          <w:tcPr>
            <w:tcW w:type="dxa" w:w="7358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widowControl/>
              <w:spacing w:after="0"/>
            </w:pPr>
            <w:r>
              <w:rPr>
                <w:rFonts w:ascii="Calibri" w:hAnsi="Calibri"/>
                <w:b w:val="0"/>
                <w:color w:val="1F2937"/>
                <w:sz w:val="16"/>
              </w:rPr>
              <w:t>Before or promptly after access to firm systems/data.</w:t>
            </w:r>
          </w:p>
        </w:tc>
      </w:tr>
      <w:tr>
        <w:trPr>
          <w:cantSplit/>
        </w:trPr>
        <w:tc>
          <w:tcPr>
            <w:tcW w:type="dxa" w:w="252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  <w:shd w:fill="F8FAFC"/>
          </w:tcPr>
          <w:p>
            <w:pPr>
              <w:widowControl/>
              <w:spacing w:after="0"/>
            </w:pPr>
            <w:r>
              <w:rPr>
                <w:rFonts w:ascii="Calibri" w:hAnsi="Calibri"/>
                <w:b/>
                <w:color w:val="1F4D78"/>
                <w:sz w:val="16"/>
              </w:rPr>
              <w:t>Annual awareness</w:t>
            </w:r>
          </w:p>
        </w:tc>
        <w:tc>
          <w:tcPr>
            <w:tcW w:type="dxa" w:w="7358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  <w:shd w:fill="F8FAFC"/>
          </w:tcPr>
          <w:p>
            <w:pPr>
              <w:widowControl/>
              <w:spacing w:after="0"/>
            </w:pPr>
            <w:r>
              <w:rPr>
                <w:rFonts w:ascii="Calibri" w:hAnsi="Calibri"/>
                <w:b w:val="0"/>
                <w:color w:val="1F2937"/>
                <w:sz w:val="16"/>
              </w:rPr>
              <w:t>At least annually for all personnel.</w:t>
            </w:r>
          </w:p>
        </w:tc>
      </w:tr>
      <w:tr>
        <w:trPr>
          <w:cantSplit/>
        </w:trPr>
        <w:tc>
          <w:tcPr>
            <w:tcW w:type="dxa" w:w="252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widowControl/>
              <w:spacing w:after="0"/>
            </w:pPr>
            <w:r>
              <w:rPr>
                <w:rFonts w:ascii="Calibri" w:hAnsi="Calibri"/>
                <w:b/>
                <w:color w:val="1F4D78"/>
                <w:sz w:val="16"/>
              </w:rPr>
              <w:t>Management-body update</w:t>
            </w:r>
          </w:p>
        </w:tc>
        <w:tc>
          <w:tcPr>
            <w:tcW w:type="dxa" w:w="7358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widowControl/>
              <w:spacing w:after="0"/>
            </w:pPr>
            <w:r>
              <w:rPr>
                <w:rFonts w:ascii="Calibri" w:hAnsi="Calibri"/>
                <w:b w:val="0"/>
                <w:color w:val="1F2937"/>
                <w:sz w:val="16"/>
              </w:rPr>
              <w:t>At least annually and on material legal, threat, incident or strategy change.</w:t>
            </w:r>
          </w:p>
        </w:tc>
      </w:tr>
      <w:tr>
        <w:trPr>
          <w:cantSplit/>
        </w:trPr>
        <w:tc>
          <w:tcPr>
            <w:tcW w:type="dxa" w:w="252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  <w:shd w:fill="F8FAFC"/>
          </w:tcPr>
          <w:p>
            <w:pPr>
              <w:widowControl/>
              <w:spacing w:after="0"/>
            </w:pPr>
            <w:r>
              <w:rPr>
                <w:rFonts w:ascii="Calibri" w:hAnsi="Calibri"/>
                <w:b/>
                <w:color w:val="1F4D78"/>
                <w:sz w:val="16"/>
              </w:rPr>
              <w:t>Role-specific</w:t>
            </w:r>
          </w:p>
        </w:tc>
        <w:tc>
          <w:tcPr>
            <w:tcW w:type="dxa" w:w="7358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  <w:shd w:fill="F8FAFC"/>
          </w:tcPr>
          <w:p>
            <w:pPr>
              <w:widowControl/>
              <w:spacing w:after="0"/>
            </w:pPr>
            <w:r>
              <w:rPr>
                <w:rFonts w:ascii="Calibri" w:hAnsi="Calibri"/>
                <w:b w:val="0"/>
                <w:color w:val="1F2937"/>
                <w:sz w:val="16"/>
              </w:rPr>
              <w:t>Before assuming high-risk duties and periodically thereafter.</w:t>
            </w:r>
          </w:p>
        </w:tc>
      </w:tr>
      <w:tr>
        <w:trPr>
          <w:cantSplit/>
        </w:trPr>
        <w:tc>
          <w:tcPr>
            <w:tcW w:type="dxa" w:w="252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widowControl/>
              <w:spacing w:after="0"/>
            </w:pPr>
            <w:r>
              <w:rPr>
                <w:rFonts w:ascii="Calibri" w:hAnsi="Calibri"/>
                <w:b/>
                <w:color w:val="1F4D78"/>
                <w:sz w:val="16"/>
              </w:rPr>
              <w:t>Exercise-based</w:t>
            </w:r>
          </w:p>
        </w:tc>
        <w:tc>
          <w:tcPr>
            <w:tcW w:type="dxa" w:w="7358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widowControl/>
              <w:spacing w:after="0"/>
            </w:pPr>
            <w:r>
              <w:rPr>
                <w:rFonts w:ascii="Calibri" w:hAnsi="Calibri"/>
                <w:b w:val="0"/>
                <w:color w:val="1F2937"/>
                <w:sz w:val="16"/>
              </w:rPr>
              <w:t>As part of D08 incident, continuity, restore and provider exercises.</w:t>
            </w:r>
          </w:p>
        </w:tc>
      </w:tr>
      <w:tr>
        <w:trPr>
          <w:cantSplit/>
        </w:trPr>
        <w:tc>
          <w:tcPr>
            <w:tcW w:type="dxa" w:w="252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  <w:shd w:fill="F8FAFC"/>
          </w:tcPr>
          <w:p>
            <w:pPr>
              <w:widowControl/>
              <w:spacing w:after="0"/>
            </w:pPr>
            <w:r>
              <w:rPr>
                <w:rFonts w:ascii="Calibri" w:hAnsi="Calibri"/>
                <w:b/>
                <w:color w:val="1F4D78"/>
                <w:sz w:val="16"/>
              </w:rPr>
              <w:t>Targeted remediation</w:t>
            </w:r>
          </w:p>
        </w:tc>
        <w:tc>
          <w:tcPr>
            <w:tcW w:type="dxa" w:w="7358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  <w:shd w:fill="F8FAFC"/>
          </w:tcPr>
          <w:p>
            <w:pPr>
              <w:widowControl/>
              <w:spacing w:after="0"/>
            </w:pPr>
            <w:r>
              <w:rPr>
                <w:rFonts w:ascii="Calibri" w:hAnsi="Calibri"/>
                <w:b w:val="0"/>
                <w:color w:val="1F2937"/>
                <w:sz w:val="16"/>
              </w:rPr>
              <w:t>Following control failure, phishing result, incident, audit/test finding or repeated non-compliance.</w:t>
            </w:r>
          </w:p>
        </w:tc>
      </w:tr>
    </w:tbl>
    <w:p>
      <w:pPr>
        <w:widowControl/>
        <w:spacing w:after="0"/>
      </w:pPr>
    </w:p>
    <w:p>
      <w:pPr>
        <w:pStyle w:val="Heading1"/>
        <w:widowControl/>
      </w:pPr>
      <w:r>
        <w:t>4. Annual training needs assessment</w:t>
      </w:r>
    </w:p>
    <w:p>
      <w:pPr>
        <w:pStyle w:val="ListNumber"/>
        <w:widowControl/>
      </w:pPr>
      <w:r>
        <w:t>Review roles, access and changes;</w:t>
      </w:r>
    </w:p>
    <w:p>
      <w:pPr>
        <w:pStyle w:val="ListNumber"/>
        <w:widowControl/>
      </w:pPr>
      <w:r>
        <w:t>review D03 risks, D07 incidents, D08 results, D13 findings and D14 evidence gaps;</w:t>
      </w:r>
    </w:p>
    <w:p>
      <w:pPr>
        <w:pStyle w:val="ListNumber"/>
        <w:widowControl/>
      </w:pPr>
      <w:r>
        <w:t>identify provider, regulatory and threat developments;</w:t>
      </w:r>
    </w:p>
    <w:p>
      <w:pPr>
        <w:pStyle w:val="ListNumber"/>
        <w:widowControl/>
      </w:pPr>
      <w:r>
        <w:t>define learning objectives, audience, method, assessment and completion threshold;</w:t>
      </w:r>
    </w:p>
    <w:p>
      <w:pPr>
        <w:pStyle w:val="ListNumber"/>
        <w:widowControl/>
      </w:pPr>
      <w:r>
        <w:t>obtain approval, resources and schedule;</w:t>
      </w:r>
    </w:p>
    <w:p>
      <w:pPr>
        <w:pStyle w:val="ListNumber"/>
        <w:widowControl/>
      </w:pPr>
      <w:r>
        <w:t>track completion, exceptions, assessment results and corrective training.</w:t>
      </w:r>
    </w:p>
    <w:p>
      <w:pPr>
        <w:pStyle w:val="Heading1"/>
        <w:widowControl/>
      </w:pPr>
      <w:r>
        <w:t>5. Delivery and assessment</w:t>
      </w:r>
    </w:p>
    <w:p>
      <w:pPr>
        <w:widowControl/>
      </w:pPr>
      <w:r>
        <w:t>Training may combine workshops, concise e-learning, simulations, exercises and briefing materials. Role-specific modules should use firm-relevant scenarios. Assessment may include knowledge checks, observed exercise decisions, phishing outcomes and practical demonstrations. Failed or missed mandatory training requires escalation and a time-bound completion plan.</w:t>
      </w:r>
    </w:p>
    <w:p>
      <w:pPr>
        <w:pStyle w:val="Heading1"/>
        <w:widowControl/>
      </w:pPr>
      <w:r>
        <w:t>6. Records and evidence</w:t>
      </w:r>
    </w:p>
    <w:tbl>
      <w:tblPr>
        <w:tblStyle w:val="TableGrid"/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2232"/>
        <w:gridCol w:w="7646"/>
      </w:tblGrid>
      <w:tr>
        <w:trPr>
          <w:tblHeader w:val="true"/>
        </w:trPr>
        <w:tc>
          <w:tcPr>
            <w:tcW w:type="dxa" w:w="2232"/>
            <w:shd w:fill="17365D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widowControl/>
            </w:pPr>
            <w:r>
              <w:rPr>
                <w:rFonts w:ascii="Calibri" w:hAnsi="Calibri"/>
                <w:b/>
                <w:color w:val="FFFFFF"/>
                <w:sz w:val="16"/>
              </w:rPr>
              <w:t>Record</w:t>
            </w:r>
          </w:p>
        </w:tc>
        <w:tc>
          <w:tcPr>
            <w:tcW w:type="dxa" w:w="7646"/>
            <w:shd w:fill="17365D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widowControl/>
            </w:pPr>
            <w:r>
              <w:rPr>
                <w:rFonts w:ascii="Calibri" w:hAnsi="Calibri"/>
                <w:b/>
                <w:color w:val="FFFFFF"/>
                <w:sz w:val="16"/>
              </w:rPr>
              <w:t>Minimum fields</w:t>
            </w:r>
          </w:p>
        </w:tc>
      </w:tr>
      <w:tr>
        <w:trPr>
          <w:cantSplit/>
        </w:trPr>
        <w:tc>
          <w:tcPr>
            <w:tcW w:type="dxa" w:w="2232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widowControl/>
              <w:spacing w:after="0"/>
            </w:pPr>
            <w:r>
              <w:rPr>
                <w:rFonts w:ascii="Calibri" w:hAnsi="Calibri"/>
                <w:b/>
                <w:color w:val="1F4D78"/>
                <w:sz w:val="16"/>
              </w:rPr>
              <w:t>Programme</w:t>
            </w:r>
          </w:p>
        </w:tc>
        <w:tc>
          <w:tcPr>
            <w:tcW w:type="dxa" w:w="7646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widowControl/>
              <w:spacing w:after="0"/>
            </w:pPr>
            <w:r>
              <w:rPr>
                <w:rFonts w:ascii="Calibri" w:hAnsi="Calibri"/>
                <w:b w:val="0"/>
                <w:color w:val="1F2937"/>
                <w:sz w:val="16"/>
              </w:rPr>
              <w:t>Year, risk basis, audiences, modules, owners, dates and approval</w:t>
            </w:r>
          </w:p>
        </w:tc>
      </w:tr>
      <w:tr>
        <w:trPr>
          <w:cantSplit/>
        </w:trPr>
        <w:tc>
          <w:tcPr>
            <w:tcW w:type="dxa" w:w="2232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  <w:shd w:fill="F8FAFC"/>
          </w:tcPr>
          <w:p>
            <w:pPr>
              <w:widowControl/>
              <w:spacing w:after="0"/>
            </w:pPr>
            <w:r>
              <w:rPr>
                <w:rFonts w:ascii="Calibri" w:hAnsi="Calibri"/>
                <w:b/>
                <w:color w:val="1F4D78"/>
                <w:sz w:val="16"/>
              </w:rPr>
              <w:t>Attendance</w:t>
            </w:r>
          </w:p>
        </w:tc>
        <w:tc>
          <w:tcPr>
            <w:tcW w:type="dxa" w:w="7646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  <w:shd w:fill="F8FAFC"/>
          </w:tcPr>
          <w:p>
            <w:pPr>
              <w:widowControl/>
              <w:spacing w:after="0"/>
            </w:pPr>
            <w:r>
              <w:rPr>
                <w:rFonts w:ascii="Calibri" w:hAnsi="Calibri"/>
                <w:b w:val="0"/>
                <w:color w:val="1F2937"/>
                <w:sz w:val="16"/>
              </w:rPr>
              <w:t>Participant, role, module, date, completion, score/result and evidence</w:t>
            </w:r>
          </w:p>
        </w:tc>
      </w:tr>
      <w:tr>
        <w:trPr>
          <w:cantSplit/>
        </w:trPr>
        <w:tc>
          <w:tcPr>
            <w:tcW w:type="dxa" w:w="2232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widowControl/>
              <w:spacing w:after="0"/>
            </w:pPr>
            <w:r>
              <w:rPr>
                <w:rFonts w:ascii="Calibri" w:hAnsi="Calibri"/>
                <w:b/>
                <w:color w:val="1F4D78"/>
                <w:sz w:val="16"/>
              </w:rPr>
              <w:t>Management-body training</w:t>
            </w:r>
          </w:p>
        </w:tc>
        <w:tc>
          <w:tcPr>
            <w:tcW w:type="dxa" w:w="7646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widowControl/>
              <w:spacing w:after="0"/>
            </w:pPr>
            <w:r>
              <w:rPr>
                <w:rFonts w:ascii="Calibri" w:hAnsi="Calibri"/>
                <w:b w:val="0"/>
                <w:color w:val="1F2937"/>
                <w:sz w:val="16"/>
              </w:rPr>
              <w:t>Agenda, materials, attendance, questions/decisions and minutes reference</w:t>
            </w:r>
          </w:p>
        </w:tc>
      </w:tr>
      <w:tr>
        <w:trPr>
          <w:cantSplit/>
        </w:trPr>
        <w:tc>
          <w:tcPr>
            <w:tcW w:type="dxa" w:w="2232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  <w:shd w:fill="F8FAFC"/>
          </w:tcPr>
          <w:p>
            <w:pPr>
              <w:widowControl/>
              <w:spacing w:after="0"/>
            </w:pPr>
            <w:r>
              <w:rPr>
                <w:rFonts w:ascii="Calibri" w:hAnsi="Calibri"/>
                <w:b/>
                <w:color w:val="1F4D78"/>
                <w:sz w:val="16"/>
              </w:rPr>
              <w:t>Exceptions</w:t>
            </w:r>
          </w:p>
        </w:tc>
        <w:tc>
          <w:tcPr>
            <w:tcW w:type="dxa" w:w="7646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  <w:shd w:fill="F8FAFC"/>
          </w:tcPr>
          <w:p>
            <w:pPr>
              <w:widowControl/>
              <w:spacing w:after="0"/>
            </w:pPr>
            <w:r>
              <w:rPr>
                <w:rFonts w:ascii="Calibri" w:hAnsi="Calibri"/>
                <w:b w:val="0"/>
                <w:color w:val="1F2937"/>
                <w:sz w:val="16"/>
              </w:rPr>
              <w:t>Reason, risk, approval, alternative completion date</w:t>
            </w:r>
          </w:p>
        </w:tc>
      </w:tr>
      <w:tr>
        <w:trPr>
          <w:cantSplit/>
        </w:trPr>
        <w:tc>
          <w:tcPr>
            <w:tcW w:type="dxa" w:w="2232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widowControl/>
              <w:spacing w:after="0"/>
            </w:pPr>
            <w:r>
              <w:rPr>
                <w:rFonts w:ascii="Calibri" w:hAnsi="Calibri"/>
                <w:b/>
                <w:color w:val="1F4D78"/>
                <w:sz w:val="16"/>
              </w:rPr>
              <w:t>Effectiveness</w:t>
            </w:r>
          </w:p>
        </w:tc>
        <w:tc>
          <w:tcPr>
            <w:tcW w:type="dxa" w:w="7646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widowControl/>
              <w:spacing w:after="0"/>
            </w:pPr>
            <w:r>
              <w:rPr>
                <w:rFonts w:ascii="Calibri" w:hAnsi="Calibri"/>
                <w:b w:val="0"/>
                <w:color w:val="1F2937"/>
                <w:sz w:val="16"/>
              </w:rPr>
              <w:t>Assessment results, behaviour/incident indicators, lessons and changes</w:t>
            </w:r>
          </w:p>
        </w:tc>
      </w:tr>
    </w:tbl>
    <w:p>
      <w:pPr>
        <w:widowControl/>
        <w:spacing w:after="0"/>
      </w:pPr>
    </w:p>
    <w:p>
      <w:pPr>
        <w:pStyle w:val="Heading1"/>
        <w:widowControl/>
      </w:pPr>
      <w:r>
        <w:t>7. Programme effectiveness review</w:t>
      </w:r>
    </w:p>
    <w:p>
      <w:pPr>
        <w:widowControl/>
      </w:pPr>
      <w:r>
        <w:t>At least annually, assess completion, assessment performance, repeat incidents, phishing/social-engineering results, helpdesk/security-reporting behaviour, exercise performance and control findings. Record improvement actions and update content, frequency or audience.</w:t>
      </w:r>
    </w:p>
    <w:p>
      <w:pPr>
        <w:pStyle w:val="Heading1"/>
        <w:widowControl/>
      </w:pPr>
      <w:r>
        <w:t>Appendix A — Management-body workshop agenda</w:t>
      </w:r>
    </w:p>
    <w:p>
      <w:pPr>
        <w:pStyle w:val="ListBullet"/>
        <w:widowControl/>
        <w:ind w:left="461"/>
      </w:pPr>
      <w:r>
        <w:t>Why DORA applies and why SNI does not mean microenterprise</w:t>
      </w:r>
    </w:p>
    <w:p>
      <w:pPr>
        <w:pStyle w:val="ListBullet"/>
        <w:widowControl/>
        <w:ind w:left="461"/>
      </w:pPr>
      <w:r>
        <w:t>Board accountability and D01–D14 architecture</w:t>
      </w:r>
    </w:p>
    <w:p>
      <w:pPr>
        <w:pStyle w:val="ListBullet"/>
        <w:widowControl/>
        <w:ind w:left="461"/>
      </w:pPr>
      <w:r>
        <w:t>Current critical functions, systems and providers</w:t>
      </w:r>
    </w:p>
    <w:p>
      <w:pPr>
        <w:pStyle w:val="ListBullet"/>
        <w:widowControl/>
        <w:ind w:left="461"/>
      </w:pPr>
      <w:r>
        <w:t>ICT risk tolerance and top residual risks</w:t>
      </w:r>
    </w:p>
    <w:p>
      <w:pPr>
        <w:pStyle w:val="ListBullet"/>
        <w:widowControl/>
        <w:ind w:left="461"/>
      </w:pPr>
      <w:r>
        <w:t>Major-incident classification and 4h/24h/72h/one-month timeline</w:t>
      </w:r>
    </w:p>
    <w:p>
      <w:pPr>
        <w:pStyle w:val="ListBullet"/>
        <w:widowControl/>
        <w:ind w:left="461"/>
      </w:pPr>
      <w:r>
        <w:t>Testing, restore evidence and material findings</w:t>
      </w:r>
    </w:p>
    <w:p>
      <w:pPr>
        <w:pStyle w:val="ListBullet"/>
        <w:widowControl/>
        <w:ind w:left="461"/>
      </w:pPr>
      <w:r>
        <w:t>Article 30 gaps, concentration and exit readiness</w:t>
      </w:r>
    </w:p>
    <w:p>
      <w:pPr>
        <w:pStyle w:val="ListBullet"/>
        <w:widowControl/>
        <w:ind w:left="461"/>
      </w:pPr>
      <w:r>
        <w:t>Article 41 review, resources and decisions required</w:t>
      </w:r>
    </w:p>
    <w:p>
      <w:pPr>
        <w:pStyle w:val="Heading1"/>
        <w:widowControl/>
      </w:pPr>
      <w:r>
        <w:t>Appendix B — Knowledge check</w:t>
      </w:r>
    </w:p>
    <w:tbl>
      <w:tblPr>
        <w:tblStyle w:val="TableGrid"/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5472"/>
        <w:gridCol w:w="4406"/>
      </w:tblGrid>
      <w:tr>
        <w:trPr>
          <w:tblHeader w:val="true"/>
        </w:trPr>
        <w:tc>
          <w:tcPr>
            <w:tcW w:type="dxa" w:w="5472"/>
            <w:shd w:fill="17365D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widowControl/>
            </w:pPr>
            <w:r>
              <w:rPr>
                <w:rFonts w:ascii="Calibri" w:hAnsi="Calibri"/>
                <w:b/>
                <w:color w:val="FFFFFF"/>
                <w:sz w:val="16"/>
              </w:rPr>
              <w:t>Question</w:t>
            </w:r>
          </w:p>
        </w:tc>
        <w:tc>
          <w:tcPr>
            <w:tcW w:type="dxa" w:w="4406"/>
            <w:shd w:fill="17365D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widowControl/>
            </w:pPr>
            <w:r>
              <w:rPr>
                <w:rFonts w:ascii="Calibri" w:hAnsi="Calibri"/>
                <w:b/>
                <w:color w:val="FFFFFF"/>
                <w:sz w:val="16"/>
              </w:rPr>
              <w:t>Expected answer / evidence</w:t>
            </w:r>
          </w:p>
        </w:tc>
      </w:tr>
      <w:tr>
        <w:trPr>
          <w:cantSplit/>
        </w:trPr>
        <w:tc>
          <w:tcPr>
            <w:tcW w:type="dxa" w:w="5472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widowControl/>
              <w:spacing w:after="0"/>
            </w:pPr>
            <w:r>
              <w:rPr>
                <w:rFonts w:ascii="Calibri" w:hAnsi="Calibri"/>
                <w:b w:val="0"/>
                <w:color w:val="1F2937"/>
                <w:sz w:val="16"/>
              </w:rPr>
              <w:t>Who may classify and approve a major-incident report?</w:t>
            </w:r>
          </w:p>
        </w:tc>
        <w:tc>
          <w:tcPr>
            <w:tcW w:type="dxa" w:w="4406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widowControl/>
              <w:spacing w:after="0"/>
            </w:pPr>
            <w:r>
              <w:rPr>
                <w:rFonts w:ascii="Calibri" w:hAnsi="Calibri"/>
                <w:b w:val="0"/>
                <w:color w:val="1F2937"/>
                <w:sz w:val="16"/>
              </w:rPr>
              <w:t>[TAILOR TO APPROVED D01–D14]</w:t>
            </w:r>
          </w:p>
        </w:tc>
      </w:tr>
      <w:tr>
        <w:trPr>
          <w:cantSplit/>
        </w:trPr>
        <w:tc>
          <w:tcPr>
            <w:tcW w:type="dxa" w:w="5472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  <w:shd w:fill="F8FAFC"/>
          </w:tcPr>
          <w:p>
            <w:pPr>
              <w:widowControl/>
              <w:spacing w:after="0"/>
            </w:pPr>
            <w:r>
              <w:rPr>
                <w:rFonts w:ascii="Calibri" w:hAnsi="Calibri"/>
                <w:b w:val="0"/>
                <w:color w:val="1F2937"/>
                <w:sz w:val="16"/>
              </w:rPr>
              <w:t>Which two timestamps control the initial DORA notification deadline?</w:t>
            </w:r>
          </w:p>
        </w:tc>
        <w:tc>
          <w:tcPr>
            <w:tcW w:type="dxa" w:w="4406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  <w:shd w:fill="F8FAFC"/>
          </w:tcPr>
          <w:p>
            <w:pPr>
              <w:widowControl/>
              <w:spacing w:after="0"/>
            </w:pPr>
            <w:r>
              <w:rPr>
                <w:rFonts w:ascii="Calibri" w:hAnsi="Calibri"/>
                <w:b w:val="0"/>
                <w:color w:val="1F2937"/>
                <w:sz w:val="16"/>
              </w:rPr>
              <w:t>[TAILOR TO APPROVED D01–D14]</w:t>
            </w:r>
          </w:p>
        </w:tc>
      </w:tr>
      <w:tr>
        <w:trPr>
          <w:cantSplit/>
        </w:trPr>
        <w:tc>
          <w:tcPr>
            <w:tcW w:type="dxa" w:w="5472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widowControl/>
              <w:spacing w:after="0"/>
            </w:pPr>
            <w:r>
              <w:rPr>
                <w:rFonts w:ascii="Calibri" w:hAnsi="Calibri"/>
                <w:b w:val="0"/>
                <w:color w:val="1F2937"/>
                <w:sz w:val="16"/>
              </w:rPr>
              <w:t>Does the ICT register cover only critical providers?</w:t>
            </w:r>
          </w:p>
        </w:tc>
        <w:tc>
          <w:tcPr>
            <w:tcW w:type="dxa" w:w="4406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widowControl/>
              <w:spacing w:after="0"/>
            </w:pPr>
            <w:r>
              <w:rPr>
                <w:rFonts w:ascii="Calibri" w:hAnsi="Calibri"/>
                <w:b w:val="0"/>
                <w:color w:val="1F2937"/>
                <w:sz w:val="16"/>
              </w:rPr>
              <w:t>[TAILOR TO APPROVED D01–D14]</w:t>
            </w:r>
          </w:p>
        </w:tc>
      </w:tr>
      <w:tr>
        <w:trPr>
          <w:cantSplit/>
        </w:trPr>
        <w:tc>
          <w:tcPr>
            <w:tcW w:type="dxa" w:w="5472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  <w:shd w:fill="F8FAFC"/>
          </w:tcPr>
          <w:p>
            <w:pPr>
              <w:widowControl/>
              <w:spacing w:after="0"/>
            </w:pPr>
            <w:r>
              <w:rPr>
                <w:rFonts w:ascii="Calibri" w:hAnsi="Calibri"/>
                <w:b w:val="0"/>
                <w:color w:val="1F2937"/>
                <w:sz w:val="16"/>
              </w:rPr>
              <w:t>What evidence proves a backup can be restored?</w:t>
            </w:r>
          </w:p>
        </w:tc>
        <w:tc>
          <w:tcPr>
            <w:tcW w:type="dxa" w:w="4406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  <w:shd w:fill="F8FAFC"/>
          </w:tcPr>
          <w:p>
            <w:pPr>
              <w:widowControl/>
              <w:spacing w:after="0"/>
            </w:pPr>
            <w:r>
              <w:rPr>
                <w:rFonts w:ascii="Calibri" w:hAnsi="Calibri"/>
                <w:b w:val="0"/>
                <w:color w:val="1F2937"/>
                <w:sz w:val="16"/>
              </w:rPr>
              <w:t>[TAILOR TO APPROVED D01–D14]</w:t>
            </w:r>
          </w:p>
        </w:tc>
      </w:tr>
      <w:tr>
        <w:trPr>
          <w:cantSplit/>
        </w:trPr>
        <w:tc>
          <w:tcPr>
            <w:tcW w:type="dxa" w:w="5472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widowControl/>
              <w:spacing w:after="0"/>
            </w:pPr>
            <w:r>
              <w:rPr>
                <w:rFonts w:ascii="Calibri" w:hAnsi="Calibri"/>
                <w:b w:val="0"/>
                <w:color w:val="1F2937"/>
                <w:sz w:val="16"/>
              </w:rPr>
              <w:t>When must a provider exit plan be activated or reviewed?</w:t>
            </w:r>
          </w:p>
        </w:tc>
        <w:tc>
          <w:tcPr>
            <w:tcW w:type="dxa" w:w="4406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widowControl/>
              <w:spacing w:after="0"/>
            </w:pPr>
            <w:r>
              <w:rPr>
                <w:rFonts w:ascii="Calibri" w:hAnsi="Calibri"/>
                <w:b w:val="0"/>
                <w:color w:val="1F2937"/>
                <w:sz w:val="16"/>
              </w:rPr>
              <w:t>[TAILOR TO APPROVED D01–D14]</w:t>
            </w:r>
          </w:p>
        </w:tc>
      </w:tr>
      <w:tr>
        <w:trPr>
          <w:cantSplit/>
        </w:trPr>
        <w:tc>
          <w:tcPr>
            <w:tcW w:type="dxa" w:w="5472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  <w:shd w:fill="F8FAFC"/>
          </w:tcPr>
          <w:p>
            <w:pPr>
              <w:widowControl/>
              <w:spacing w:after="0"/>
            </w:pPr>
            <w:r>
              <w:rPr>
                <w:rFonts w:ascii="Calibri" w:hAnsi="Calibri"/>
                <w:b w:val="0"/>
                <w:color w:val="1F2937"/>
                <w:sz w:val="16"/>
              </w:rPr>
              <w:t>Who may accept high residual ICT risk?</w:t>
            </w:r>
          </w:p>
        </w:tc>
        <w:tc>
          <w:tcPr>
            <w:tcW w:type="dxa" w:w="4406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  <w:shd w:fill="F8FAFC"/>
          </w:tcPr>
          <w:p>
            <w:pPr>
              <w:widowControl/>
              <w:spacing w:after="0"/>
            </w:pPr>
            <w:r>
              <w:rPr>
                <w:rFonts w:ascii="Calibri" w:hAnsi="Calibri"/>
                <w:b w:val="0"/>
                <w:color w:val="1F2937"/>
                <w:sz w:val="16"/>
              </w:rPr>
              <w:t>[TAILOR TO APPROVED D01–D14]</w:t>
            </w:r>
          </w:p>
        </w:tc>
      </w:tr>
    </w:tbl>
    <w:p>
      <w:pPr>
        <w:widowControl/>
        <w:spacing w:after="0"/>
      </w:pPr>
    </w:p>
    <w:p>
      <w:pPr>
        <w:widowControl/>
      </w:pPr>
      <w:r>
        <w:br w:type="page"/>
      </w:r>
    </w:p>
    <w:p>
      <w:pPr>
        <w:pStyle w:val="Heading1"/>
        <w:widowControl/>
      </w:pPr>
      <w:r>
        <w:t>Requirements addressed by this deliverable</w:t>
      </w:r>
    </w:p>
    <w:p>
      <w:pPr>
        <w:widowControl/>
      </w:pPr>
      <w:r>
        <w:t>This schedule is generated from the suite’s controlling traceability dataset. Primary and supporting mappings must be reconciled whenever this document changes. 2 requirement records are associated with D12.</w:t>
      </w:r>
    </w:p>
    <w:tbl>
      <w:tblPr>
        <w:tblStyle w:val="TableGrid"/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1512"/>
        <w:gridCol w:w="1800"/>
        <w:gridCol w:w="1584"/>
        <w:gridCol w:w="2232"/>
        <w:gridCol w:w="2750"/>
      </w:tblGrid>
      <w:tr>
        <w:trPr>
          <w:tblHeader w:val="true"/>
        </w:trPr>
        <w:tc>
          <w:tcPr>
            <w:tcW w:type="dxa" w:w="1512"/>
            <w:shd w:fill="17365D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widowControl/>
            </w:pPr>
            <w:r>
              <w:rPr>
                <w:rFonts w:ascii="Calibri" w:hAnsi="Calibri"/>
                <w:b/>
                <w:color w:val="FFFFFF"/>
                <w:sz w:val="13"/>
              </w:rPr>
              <w:t>ID</w:t>
            </w:r>
          </w:p>
        </w:tc>
        <w:tc>
          <w:tcPr>
            <w:tcW w:type="dxa" w:w="1800"/>
            <w:shd w:fill="17365D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widowControl/>
            </w:pPr>
            <w:r>
              <w:rPr>
                <w:rFonts w:ascii="Calibri" w:hAnsi="Calibri"/>
                <w:b/>
                <w:color w:val="FFFFFF"/>
                <w:sz w:val="13"/>
              </w:rPr>
              <w:t>Reference</w:t>
            </w:r>
          </w:p>
        </w:tc>
        <w:tc>
          <w:tcPr>
            <w:tcW w:type="dxa" w:w="1584"/>
            <w:shd w:fill="17365D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widowControl/>
            </w:pPr>
            <w:r>
              <w:rPr>
                <w:rFonts w:ascii="Calibri" w:hAnsi="Calibri"/>
                <w:b/>
                <w:color w:val="FFFFFF"/>
                <w:sz w:val="13"/>
              </w:rPr>
              <w:t>Applicability</w:t>
            </w:r>
          </w:p>
        </w:tc>
        <w:tc>
          <w:tcPr>
            <w:tcW w:type="dxa" w:w="2232"/>
            <w:shd w:fill="17365D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widowControl/>
            </w:pPr>
            <w:r>
              <w:rPr>
                <w:rFonts w:ascii="Calibri" w:hAnsi="Calibri"/>
                <w:b/>
                <w:color w:val="FFFFFF"/>
                <w:sz w:val="13"/>
              </w:rPr>
              <w:t>Location / role</w:t>
            </w:r>
          </w:p>
        </w:tc>
        <w:tc>
          <w:tcPr>
            <w:tcW w:type="dxa" w:w="2750"/>
            <w:shd w:fill="17365D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widowControl/>
            </w:pPr>
            <w:r>
              <w:rPr>
                <w:rFonts w:ascii="Calibri" w:hAnsi="Calibri"/>
                <w:b/>
                <w:color w:val="FFFFFF"/>
                <w:sz w:val="13"/>
              </w:rPr>
              <w:t>Requirement</w:t>
            </w:r>
          </w:p>
        </w:tc>
      </w:tr>
      <w:tr>
        <w:trPr>
          <w:cantSplit/>
        </w:trPr>
        <w:tc>
          <w:tcPr>
            <w:tcW w:type="dxa" w:w="1512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widowControl/>
              <w:spacing w:after="0"/>
            </w:pPr>
            <w:r>
              <w:rPr>
                <w:rFonts w:ascii="Calibri" w:hAnsi="Calibri"/>
                <w:b w:val="0"/>
                <w:color w:val="1F2937"/>
                <w:sz w:val="13"/>
              </w:rPr>
              <w:t>DORA-A16-P1-H</w:t>
            </w:r>
          </w:p>
        </w:tc>
        <w:tc>
          <w:tcPr>
            <w:tcW w:type="dxa" w:w="180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widowControl/>
              <w:spacing w:after="0"/>
            </w:pPr>
            <w:r>
              <w:rPr>
                <w:rFonts w:ascii="Calibri" w:hAnsi="Calibri"/>
                <w:b w:val="0"/>
                <w:color w:val="1F2937"/>
                <w:sz w:val="13"/>
              </w:rPr>
              <w:t>DORA Article 16(1)(h)</w:t>
            </w:r>
          </w:p>
        </w:tc>
        <w:tc>
          <w:tcPr>
            <w:tcW w:type="dxa" w:w="1584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widowControl/>
              <w:spacing w:after="0"/>
            </w:pPr>
            <w:r>
              <w:rPr>
                <w:rFonts w:ascii="Calibri" w:hAnsi="Calibri"/>
                <w:b w:val="0"/>
                <w:color w:val="1F2937"/>
                <w:sz w:val="13"/>
              </w:rPr>
              <w:t>Applicable</w:t>
            </w:r>
          </w:p>
        </w:tc>
        <w:tc>
          <w:tcPr>
            <w:tcW w:type="dxa" w:w="2232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widowControl/>
              <w:spacing w:after="0"/>
            </w:pPr>
            <w:r>
              <w:rPr>
                <w:rFonts w:ascii="Calibri" w:hAnsi="Calibri"/>
                <w:b w:val="0"/>
                <w:color w:val="1F2937"/>
                <w:sz w:val="13"/>
              </w:rPr>
              <w:t>Sections 3–7 — Training and lessons learned</w:t>
            </w:r>
          </w:p>
        </w:tc>
        <w:tc>
          <w:tcPr>
            <w:tcW w:type="dxa" w:w="275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widowControl/>
              <w:spacing w:after="0"/>
            </w:pPr>
            <w:r>
              <w:rPr>
                <w:rFonts w:ascii="Calibri" w:hAnsi="Calibri"/>
                <w:b w:val="0"/>
                <w:color w:val="1F2937"/>
                <w:sz w:val="13"/>
              </w:rPr>
              <w:t>implement, as appropriate, relevant operational conclusions resulting from the tests referred to in point (g) and from post-incident analysis into the ICT risk assessment process and develop, according to needs</w:t>
            </w:r>
          </w:p>
        </w:tc>
      </w:tr>
      <w:tr>
        <w:trPr>
          <w:cantSplit/>
        </w:trPr>
        <w:tc>
          <w:tcPr>
            <w:tcW w:type="dxa" w:w="1512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  <w:shd w:fill="F8FAFC"/>
          </w:tcPr>
          <w:p>
            <w:pPr>
              <w:widowControl/>
              <w:spacing w:after="0"/>
            </w:pPr>
            <w:r>
              <w:rPr>
                <w:rFonts w:ascii="Calibri" w:hAnsi="Calibri"/>
                <w:b w:val="0"/>
                <w:color w:val="1F2937"/>
                <w:sz w:val="13"/>
              </w:rPr>
              <w:t>IS-ACT78-S5</w:t>
            </w:r>
          </w:p>
        </w:tc>
        <w:tc>
          <w:tcPr>
            <w:tcW w:type="dxa" w:w="180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  <w:shd w:fill="F8FAFC"/>
          </w:tcPr>
          <w:p>
            <w:pPr>
              <w:widowControl/>
              <w:spacing w:after="0"/>
            </w:pPr>
            <w:r>
              <w:rPr>
                <w:rFonts w:ascii="Calibri" w:hAnsi="Calibri"/>
                <w:b w:val="0"/>
                <w:color w:val="1F2937"/>
                <w:sz w:val="13"/>
              </w:rPr>
              <w:t>IS_ACT78 Section 5</w:t>
            </w:r>
          </w:p>
        </w:tc>
        <w:tc>
          <w:tcPr>
            <w:tcW w:type="dxa" w:w="1584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  <w:shd w:fill="F8FAFC"/>
          </w:tcPr>
          <w:p>
            <w:pPr>
              <w:widowControl/>
              <w:spacing w:after="0"/>
            </w:pPr>
            <w:r>
              <w:rPr>
                <w:rFonts w:ascii="Calibri" w:hAnsi="Calibri"/>
                <w:b w:val="0"/>
                <w:color w:val="1F2937"/>
                <w:sz w:val="13"/>
              </w:rPr>
              <w:t>Applicable</w:t>
            </w:r>
          </w:p>
        </w:tc>
        <w:tc>
          <w:tcPr>
            <w:tcW w:type="dxa" w:w="2232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  <w:shd w:fill="F8FAFC"/>
          </w:tcPr>
          <w:p>
            <w:pPr>
              <w:widowControl/>
              <w:spacing w:after="0"/>
            </w:pPr>
            <w:r>
              <w:rPr>
                <w:rFonts w:ascii="Calibri" w:hAnsi="Calibri"/>
                <w:b w:val="0"/>
                <w:color w:val="1F2937"/>
                <w:sz w:val="13"/>
              </w:rPr>
              <w:t>Supporting evidence / interface</w:t>
            </w:r>
          </w:p>
        </w:tc>
        <w:tc>
          <w:tcPr>
            <w:tcW w:type="dxa" w:w="275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  <w:shd w:fill="F8FAFC"/>
          </w:tcPr>
          <w:p>
            <w:pPr>
              <w:widowControl/>
              <w:spacing w:after="0"/>
            </w:pPr>
            <w:r>
              <w:rPr>
                <w:rFonts w:ascii="Calibri" w:hAnsi="Calibri"/>
                <w:b w:val="0"/>
                <w:color w:val="1F2937"/>
                <w:sz w:val="13"/>
              </w:rPr>
              <w:t>Administrative fines may be imposed for breaches of the specified DORA obligations, including Articles 16–19, 24–30.</w:t>
            </w:r>
          </w:p>
        </w:tc>
      </w:tr>
    </w:tbl>
    <w:p>
      <w:pPr>
        <w:widowControl/>
        <w:spacing w:after="0"/>
      </w:pPr>
    </w:p>
    <w:p>
      <w:pPr>
        <w:pStyle w:val="Heading1"/>
        <w:widowControl/>
      </w:pPr>
      <w:r>
        <w:t>Official source register</w:t>
      </w:r>
    </w:p>
    <w:tbl>
      <w:tblPr>
        <w:tblStyle w:val="TableGrid"/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3528"/>
        <w:gridCol w:w="6350"/>
      </w:tblGrid>
      <w:tr>
        <w:trPr>
          <w:tblHeader w:val="true"/>
        </w:trPr>
        <w:tc>
          <w:tcPr>
            <w:tcW w:type="dxa" w:w="3528"/>
            <w:shd w:fill="17365D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widowControl/>
            </w:pPr>
            <w:r>
              <w:rPr>
                <w:rFonts w:ascii="Calibri" w:hAnsi="Calibri"/>
                <w:b/>
                <w:color w:val="FFFFFF"/>
                <w:sz w:val="15"/>
              </w:rPr>
              <w:t>Source</w:t>
            </w:r>
          </w:p>
        </w:tc>
        <w:tc>
          <w:tcPr>
            <w:tcW w:type="dxa" w:w="6350"/>
            <w:shd w:fill="17365D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widowControl/>
            </w:pPr>
            <w:r>
              <w:rPr>
                <w:rFonts w:ascii="Calibri" w:hAnsi="Calibri"/>
                <w:b/>
                <w:color w:val="FFFFFF"/>
                <w:sz w:val="15"/>
              </w:rPr>
              <w:t>Official URL</w:t>
            </w:r>
          </w:p>
        </w:tc>
      </w:tr>
      <w:tr>
        <w:trPr>
          <w:cantSplit/>
        </w:trPr>
        <w:tc>
          <w:tcPr>
            <w:tcW w:type="dxa" w:w="3528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widowControl/>
              <w:spacing w:after="0"/>
            </w:pPr>
            <w:r>
              <w:rPr>
                <w:rFonts w:ascii="Calibri" w:hAnsi="Calibri"/>
                <w:b/>
                <w:color w:val="1F4D78"/>
                <w:sz w:val="15"/>
              </w:rPr>
              <w:t>DORA</w:t>
            </w:r>
          </w:p>
        </w:tc>
        <w:tc>
          <w:tcPr>
            <w:tcW w:type="dxa" w:w="635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widowControl/>
              <w:spacing w:after="0"/>
            </w:pPr>
            <w:r>
              <w:rPr>
                <w:rFonts w:ascii="Calibri" w:hAnsi="Calibri"/>
                <w:b w:val="0"/>
                <w:color w:val="1F2937"/>
                <w:sz w:val="15"/>
              </w:rPr>
              <w:t>https://eur-lex.europa.eu/eli/reg/2022/2554/oj/eng</w:t>
            </w:r>
          </w:p>
        </w:tc>
      </w:tr>
      <w:tr>
        <w:trPr>
          <w:cantSplit/>
        </w:trPr>
        <w:tc>
          <w:tcPr>
            <w:tcW w:type="dxa" w:w="3528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  <w:shd w:fill="F8FAFC"/>
          </w:tcPr>
          <w:p>
            <w:pPr>
              <w:widowControl/>
              <w:spacing w:after="0"/>
            </w:pPr>
            <w:r>
              <w:rPr>
                <w:rFonts w:ascii="Calibri" w:hAnsi="Calibri"/>
                <w:b/>
                <w:color w:val="1F4D78"/>
                <w:sz w:val="15"/>
              </w:rPr>
              <w:t>Simplified ICT-risk RTS 2024/1774</w:t>
            </w:r>
          </w:p>
        </w:tc>
        <w:tc>
          <w:tcPr>
            <w:tcW w:type="dxa" w:w="635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  <w:shd w:fill="F8FAFC"/>
          </w:tcPr>
          <w:p>
            <w:pPr>
              <w:widowControl/>
              <w:spacing w:after="0"/>
            </w:pPr>
            <w:r>
              <w:rPr>
                <w:rFonts w:ascii="Calibri" w:hAnsi="Calibri"/>
                <w:b w:val="0"/>
                <w:color w:val="1F2937"/>
                <w:sz w:val="15"/>
              </w:rPr>
              <w:t>https://eur-lex.europa.eu/eli/reg_del/2024/1774/oj/eng</w:t>
            </w:r>
          </w:p>
        </w:tc>
      </w:tr>
      <w:tr>
        <w:trPr>
          <w:cantSplit/>
        </w:trPr>
        <w:tc>
          <w:tcPr>
            <w:tcW w:type="dxa" w:w="3528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widowControl/>
              <w:spacing w:after="0"/>
            </w:pPr>
            <w:r>
              <w:rPr>
                <w:rFonts w:ascii="Calibri" w:hAnsi="Calibri"/>
                <w:b/>
                <w:color w:val="1F4D78"/>
                <w:sz w:val="15"/>
              </w:rPr>
              <w:t>Incident classification RTS 2024/1772</w:t>
            </w:r>
          </w:p>
        </w:tc>
        <w:tc>
          <w:tcPr>
            <w:tcW w:type="dxa" w:w="635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widowControl/>
              <w:spacing w:after="0"/>
            </w:pPr>
            <w:r>
              <w:rPr>
                <w:rFonts w:ascii="Calibri" w:hAnsi="Calibri"/>
                <w:b w:val="0"/>
                <w:color w:val="1F2937"/>
                <w:sz w:val="15"/>
              </w:rPr>
              <w:t>https://eur-lex.europa.eu/eli/reg_del/2024/1772/oj/eng</w:t>
            </w:r>
          </w:p>
        </w:tc>
      </w:tr>
      <w:tr>
        <w:trPr>
          <w:cantSplit/>
        </w:trPr>
        <w:tc>
          <w:tcPr>
            <w:tcW w:type="dxa" w:w="3528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  <w:shd w:fill="F8FAFC"/>
          </w:tcPr>
          <w:p>
            <w:pPr>
              <w:widowControl/>
              <w:spacing w:after="0"/>
            </w:pPr>
            <w:r>
              <w:rPr>
                <w:rFonts w:ascii="Calibri" w:hAnsi="Calibri"/>
                <w:b/>
                <w:color w:val="1F4D78"/>
                <w:sz w:val="15"/>
              </w:rPr>
              <w:t>Incident content/timing RTS 2025/301</w:t>
            </w:r>
          </w:p>
        </w:tc>
        <w:tc>
          <w:tcPr>
            <w:tcW w:type="dxa" w:w="635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  <w:shd w:fill="F8FAFC"/>
          </w:tcPr>
          <w:p>
            <w:pPr>
              <w:widowControl/>
              <w:spacing w:after="0"/>
            </w:pPr>
            <w:r>
              <w:rPr>
                <w:rFonts w:ascii="Calibri" w:hAnsi="Calibri"/>
                <w:b w:val="0"/>
                <w:color w:val="1F2937"/>
                <w:sz w:val="15"/>
              </w:rPr>
              <w:t>https://eur-lex.europa.eu/eli/reg_del/2025/301/oj/eng</w:t>
            </w:r>
          </w:p>
        </w:tc>
      </w:tr>
      <w:tr>
        <w:trPr>
          <w:cantSplit/>
        </w:trPr>
        <w:tc>
          <w:tcPr>
            <w:tcW w:type="dxa" w:w="3528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widowControl/>
              <w:spacing w:after="0"/>
            </w:pPr>
            <w:r>
              <w:rPr>
                <w:rFonts w:ascii="Calibri" w:hAnsi="Calibri"/>
                <w:b/>
                <w:color w:val="1F4D78"/>
                <w:sz w:val="15"/>
              </w:rPr>
              <w:t>Incident forms ITS 2025/302</w:t>
            </w:r>
          </w:p>
        </w:tc>
        <w:tc>
          <w:tcPr>
            <w:tcW w:type="dxa" w:w="635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widowControl/>
              <w:spacing w:after="0"/>
            </w:pPr>
            <w:r>
              <w:rPr>
                <w:rFonts w:ascii="Calibri" w:hAnsi="Calibri"/>
                <w:b w:val="0"/>
                <w:color w:val="1F2937"/>
                <w:sz w:val="15"/>
              </w:rPr>
              <w:t>https://eur-lex.europa.eu/eli/reg_impl/2025/302/oj/eng</w:t>
            </w:r>
          </w:p>
        </w:tc>
      </w:tr>
      <w:tr>
        <w:trPr>
          <w:cantSplit/>
        </w:trPr>
        <w:tc>
          <w:tcPr>
            <w:tcW w:type="dxa" w:w="3528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  <w:shd w:fill="F8FAFC"/>
          </w:tcPr>
          <w:p>
            <w:pPr>
              <w:widowControl/>
              <w:spacing w:after="0"/>
            </w:pPr>
            <w:r>
              <w:rPr>
                <w:rFonts w:ascii="Calibri" w:hAnsi="Calibri"/>
                <w:b/>
                <w:color w:val="1F4D78"/>
                <w:sz w:val="15"/>
              </w:rPr>
              <w:t>Register ITS 2024/2956</w:t>
            </w:r>
          </w:p>
        </w:tc>
        <w:tc>
          <w:tcPr>
            <w:tcW w:type="dxa" w:w="635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  <w:shd w:fill="F8FAFC"/>
          </w:tcPr>
          <w:p>
            <w:pPr>
              <w:widowControl/>
              <w:spacing w:after="0"/>
            </w:pPr>
            <w:r>
              <w:rPr>
                <w:rFonts w:ascii="Calibri" w:hAnsi="Calibri"/>
                <w:b w:val="0"/>
                <w:color w:val="1F2937"/>
                <w:sz w:val="15"/>
              </w:rPr>
              <w:t>https://eur-lex.europa.eu/eli/reg_impl/2024/2956/oj/eng</w:t>
            </w:r>
          </w:p>
        </w:tc>
      </w:tr>
      <w:tr>
        <w:trPr>
          <w:cantSplit/>
        </w:trPr>
        <w:tc>
          <w:tcPr>
            <w:tcW w:type="dxa" w:w="3528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widowControl/>
              <w:spacing w:after="0"/>
            </w:pPr>
            <w:r>
              <w:rPr>
                <w:rFonts w:ascii="Calibri" w:hAnsi="Calibri"/>
                <w:b/>
                <w:color w:val="1F4D78"/>
                <w:sz w:val="15"/>
              </w:rPr>
              <w:t>Subcontracting RTS 2025/532</w:t>
            </w:r>
          </w:p>
        </w:tc>
        <w:tc>
          <w:tcPr>
            <w:tcW w:type="dxa" w:w="635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widowControl/>
              <w:spacing w:after="0"/>
            </w:pPr>
            <w:r>
              <w:rPr>
                <w:rFonts w:ascii="Calibri" w:hAnsi="Calibri"/>
                <w:b w:val="0"/>
                <w:color w:val="1F2937"/>
                <w:sz w:val="15"/>
              </w:rPr>
              <w:t>https://eur-lex.europa.eu/eli/reg_del/2025/532/oj/eng</w:t>
            </w:r>
          </w:p>
        </w:tc>
      </w:tr>
      <w:tr>
        <w:trPr>
          <w:cantSplit/>
        </w:trPr>
        <w:tc>
          <w:tcPr>
            <w:tcW w:type="dxa" w:w="3528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  <w:shd w:fill="F8FAFC"/>
          </w:tcPr>
          <w:p>
            <w:pPr>
              <w:widowControl/>
              <w:spacing w:after="0"/>
            </w:pPr>
            <w:r>
              <w:rPr>
                <w:rFonts w:ascii="Calibri" w:hAnsi="Calibri"/>
                <w:b/>
                <w:color w:val="1F4D78"/>
                <w:sz w:val="15"/>
              </w:rPr>
              <w:t>Icelandic Act No. 78/2025</w:t>
            </w:r>
          </w:p>
        </w:tc>
        <w:tc>
          <w:tcPr>
            <w:tcW w:type="dxa" w:w="635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  <w:shd w:fill="F8FAFC"/>
          </w:tcPr>
          <w:p>
            <w:pPr>
              <w:widowControl/>
              <w:spacing w:after="0"/>
            </w:pPr>
            <w:r>
              <w:rPr>
                <w:rFonts w:ascii="Calibri" w:hAnsi="Calibri"/>
                <w:b w:val="0"/>
                <w:color w:val="1F2937"/>
                <w:sz w:val="15"/>
              </w:rPr>
              <w:t>https://www.althingi.is/lagas/nuna/2025078.html</w:t>
            </w:r>
          </w:p>
        </w:tc>
      </w:tr>
      <w:tr>
        <w:trPr>
          <w:cantSplit/>
        </w:trPr>
        <w:tc>
          <w:tcPr>
            <w:tcW w:type="dxa" w:w="3528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widowControl/>
              <w:spacing w:after="0"/>
            </w:pPr>
            <w:r>
              <w:rPr>
                <w:rFonts w:ascii="Calibri" w:hAnsi="Calibri"/>
                <w:b/>
                <w:color w:val="1F4D78"/>
                <w:sz w:val="15"/>
              </w:rPr>
              <w:t>Central Bank Rules No. 310/2026</w:t>
            </w:r>
          </w:p>
        </w:tc>
        <w:tc>
          <w:tcPr>
            <w:tcW w:type="dxa" w:w="635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widowControl/>
              <w:spacing w:after="0"/>
            </w:pPr>
            <w:r>
              <w:rPr>
                <w:rFonts w:ascii="Calibri" w:hAnsi="Calibri"/>
                <w:b w:val="0"/>
                <w:color w:val="1F2937"/>
                <w:sz w:val="15"/>
              </w:rPr>
              <w:t>https://island.is/stjornartidindi/nr/87da1483-6a2a-412a-9021-30b9a817ad51</w:t>
            </w:r>
          </w:p>
        </w:tc>
      </w:tr>
      <w:tr>
        <w:trPr>
          <w:cantSplit/>
        </w:trPr>
        <w:tc>
          <w:tcPr>
            <w:tcW w:type="dxa" w:w="3528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  <w:shd w:fill="F8FAFC"/>
          </w:tcPr>
          <w:p>
            <w:pPr>
              <w:widowControl/>
              <w:spacing w:after="0"/>
            </w:pPr>
            <w:r>
              <w:rPr>
                <w:rFonts w:ascii="Calibri" w:hAnsi="Calibri"/>
                <w:b/>
                <w:color w:val="1F4D78"/>
                <w:sz w:val="15"/>
              </w:rPr>
              <w:t>Central Bank DORA guidance</w:t>
            </w:r>
          </w:p>
        </w:tc>
        <w:tc>
          <w:tcPr>
            <w:tcW w:type="dxa" w:w="635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  <w:shd w:fill="F8FAFC"/>
          </w:tcPr>
          <w:p>
            <w:pPr>
              <w:widowControl/>
              <w:spacing w:after="0"/>
            </w:pPr>
            <w:r>
              <w:rPr>
                <w:rFonts w:ascii="Calibri" w:hAnsi="Calibri"/>
                <w:b w:val="0"/>
                <w:color w:val="1F2937"/>
                <w:sz w:val="15"/>
              </w:rPr>
              <w:t>https://sedlabanki.is/fjarmalaeftirlit/stafraenn-vidnamsthrottur-a-fjarmalamarkadi-dora/</w:t>
            </w:r>
          </w:p>
        </w:tc>
      </w:tr>
    </w:tbl>
    <w:p>
      <w:pPr>
        <w:widowControl/>
        <w:spacing w:after="0"/>
      </w:pPr>
    </w:p>
    <w:sectPr w:rsidR="00FC693F" w:rsidRPr="0006063C" w:rsidSect="00034616">
      <w:headerReference w:type="default" r:id="rId9"/>
      <w:footerReference w:type="default" r:id="rId10"/>
      <w:pgSz w:w="12240" w:h="15840"/>
      <w:pgMar w:top="1037" w:right="1181" w:bottom="979" w:left="1181" w:header="432" w:footer="432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</w:pPr>
  </w:p>
  <w:tbl>
    <w:tblPr>
      <w:tblW w:type="auto" w:w="0"/>
      <w:tblLayout w:type="fixed"/>
      <w:tblLook w:firstColumn="1" w:firstRow="1" w:lastColumn="0" w:lastRow="0" w:noHBand="0" w:noVBand="1" w:val="04A0"/>
    </w:tblPr>
    <w:tblGrid>
      <w:gridCol w:w="3168"/>
      <w:gridCol w:w="3542"/>
      <w:gridCol w:w="3168"/>
    </w:tblGrid>
    <w:tr>
      <w:tc>
        <w:tcPr>
          <w:tcW w:type="dxa" w:w="3168"/>
          <w:tcMar>
            <w:top w:w="40" w:type="dxa"/>
            <w:start w:w="0" w:type="dxa"/>
            <w:bottom w:w="0" w:type="dxa"/>
            <w:end w:w="0" w:type="dxa"/>
          </w:tcMar>
        </w:tcPr>
        <w:p>
          <w:r>
            <w:rPr>
              <w:rFonts w:ascii="Calibri" w:hAnsi="Calibri"/>
              <w:b w:val="0"/>
              <w:color w:val="667085"/>
              <w:sz w:val="15"/>
            </w:rPr>
            <w:t>[FIRM NAME]</w:t>
          </w:r>
        </w:p>
      </w:tc>
      <w:tc>
        <w:tcPr>
          <w:tcW w:type="dxa" w:w="3542"/>
          <w:tcMar>
            <w:top w:w="40" w:type="dxa"/>
            <w:start w:w="0" w:type="dxa"/>
            <w:bottom w:w="0" w:type="dxa"/>
            <w:end w:w="0" w:type="dxa"/>
          </w:tcMar>
        </w:tcPr>
        <w:p>
          <w:pPr>
            <w:jc w:val="center"/>
          </w:pPr>
          <w:r>
            <w:rPr>
              <w:rFonts w:ascii="Calibri" w:hAnsi="Calibri"/>
              <w:b w:val="0"/>
              <w:color w:val="667085"/>
              <w:sz w:val="15"/>
            </w:rPr>
            <w:t>CONFIDENTIAL — CONTROLLED TEMPLATE</w:t>
          </w:r>
        </w:p>
      </w:tc>
      <w:tc>
        <w:tcPr>
          <w:tcW w:type="dxa" w:w="3168"/>
          <w:tcMar>
            <w:top w:w="40" w:type="dxa"/>
            <w:start w:w="0" w:type="dxa"/>
            <w:bottom w:w="0" w:type="dxa"/>
            <w:end w:w="0" w:type="dxa"/>
          </w:tcMar>
        </w:tcPr>
        <w:p>
          <w:pPr>
            <w:jc w:val="right"/>
          </w:pPr>
          <w:r>
            <w:rPr>
              <w:rFonts w:ascii="Calibri" w:hAnsi="Calibri"/>
              <w:b w:val="0"/>
              <w:color w:val="667085"/>
              <w:sz w:val="15"/>
            </w:rPr>
            <w:t xml:space="preserve">Page </w:t>
          </w:r>
          <w:r>
            <w:fldChar w:fldCharType="begin"/>
            <w:instrText xml:space="preserve">PAGE</w:instrText>
            <w:fldChar w:fldCharType="end"/>
          </w:r>
          <w:r>
            <w:rPr>
              <w:rFonts w:ascii="Calibri" w:hAnsi="Calibri"/>
              <w:b w:val="0"/>
              <w:color w:val="667085"/>
              <w:sz w:val="15"/>
            </w:rPr>
            <w:t xml:space="preserve"> of </w:t>
          </w:r>
          <w:r>
            <w:fldChar w:fldCharType="begin"/>
            <w:instrText xml:space="preserve">NUMPAGES</w:instrText>
            <w:fldChar w:fldCharType="end"/>
          </w:r>
        </w:p>
      </w:tc>
    </w:tr>
  </w:tbl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jc w:val="right"/>
    </w:pPr>
    <w:r>
      <w:rPr>
        <w:rFonts w:ascii="Calibri" w:hAnsi="Calibri"/>
        <w:b/>
        <w:color w:val="667085"/>
        <w:sz w:val="15"/>
      </w:rPr>
      <w:t>D12  |  ICT/DORA TRAINING PROGRAMME &amp; RECORDS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100" w:line="269" w:lineRule="auto"/>
    </w:pPr>
    <w:rPr>
      <w:rFonts w:ascii="Calibri" w:hAnsi="Calibri"/>
      <w:color w:val="1F2937"/>
      <w:sz w:val="20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320" w:after="160"/>
      <w:outlineLvl w:val="0"/>
    </w:pPr>
    <w:rPr>
      <w:rFonts w:asciiTheme="majorHAnsi" w:eastAsiaTheme="majorEastAsia" w:hAnsiTheme="majorHAnsi" w:cstheme="majorBidi" w:ascii="Calibri" w:hAnsi="Calibri"/>
      <w:b/>
      <w:bCs/>
      <w:color w:val="2E74B5"/>
      <w:sz w:val="32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40" w:after="120"/>
      <w:outlineLvl w:val="1"/>
    </w:pPr>
    <w:rPr>
      <w:rFonts w:asciiTheme="majorHAnsi" w:eastAsiaTheme="majorEastAsia" w:hAnsiTheme="majorHAnsi" w:cstheme="majorBidi" w:ascii="Calibri" w:hAnsi="Calibri"/>
      <w:b/>
      <w:bCs/>
      <w:color w:val="2E74B5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 w:ascii="Calibri" w:hAnsi="Calibri"/>
      <w:b/>
      <w:bCs/>
      <w:color w:val="1F4D78"/>
      <w:sz w:val="23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spacing w:after="60"/>
      <w:ind w:left="461" w:hanging="259"/>
      <w:contextualSpacing/>
    </w:pPr>
    <w:rPr>
      <w:rFonts w:ascii="Calibri" w:hAnsi="Calibri"/>
      <w:sz w:val="20"/>
    </w:r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spacing w:after="60"/>
      <w:ind w:left="461" w:hanging="259"/>
      <w:contextualSpacing/>
    </w:pPr>
    <w:rPr>
      <w:rFonts w:ascii="Calibri" w:hAnsi="Calibri"/>
      <w:sz w:val="20"/>
    </w:r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DraftingNote">
    <w:name w:val="Drafting Note"/>
    <w:pPr>
      <w:spacing w:after="80"/>
    </w:pPr>
    <w:rPr>
      <w:rFonts w:ascii="Calibri" w:hAnsi="Calibri"/>
      <w:i/>
      <w:color w:val="667085"/>
      <w:sz w:val="17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ICT/DORA Training Programme &amp; Records</dc:title>
  <dc:subject>Reusable internal template for an SNI investment firm</dc:subject>
  <dc:creator>DORA SNI Documentation &amp; Implementation Suite v1.0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