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D11</w:t>
      </w:r>
    </w:p>
    <w:p>
      <w:pPr>
        <w:widowControl/>
        <w:spacing w:after="240" w:line="235" w:lineRule="auto"/>
      </w:pPr>
      <w:r>
        <w:rPr>
          <w:rFonts w:ascii="Calibri" w:hAnsi="Calibri"/>
          <w:b/>
          <w:color w:val="17365D"/>
          <w:sz w:val="54"/>
        </w:rPr>
        <w:t>ICT Provider Compliance Pack</w:t>
      </w:r>
    </w:p>
    <w:p>
      <w:pPr>
        <w:widowControl/>
        <w:spacing w:after="560"/>
      </w:pPr>
      <w:r>
        <w:rPr>
          <w:rFonts w:ascii="Calibri" w:hAnsi="Calibri"/>
          <w:b/>
          <w:color w:val="FFFFFF"/>
          <w:sz w:val="20"/>
          <w:shd w:fill="0F6B78"/>
        </w:rPr>
        <w:t>PROVIDER-LEVEL ASSESSMENT, CONTRACT &amp; EXIT PACK</w:t>
      </w:r>
    </w:p>
    <w:tbl>
      <w:tblPr>
        <w:tblW w:type="auto" w:w="0"/>
        <w:jc w:val="left"/>
        <w:tblLayout w:type="fixed"/>
        <w:tblLook w:firstColumn="1" w:firstRow="1" w:lastColumn="0" w:lastRow="0" w:noHBand="0" w:noVBand="1" w:val="04A0"/>
      </w:tblPr>
      <w:tblGrid>
        <w:gridCol w:w="2448"/>
        <w:gridCol w:w="7430"/>
      </w:tblGrid>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ENTITY</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[ENTITY LEGAL NAME]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OWNER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[ROLE / FUNCTION]</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APPROVER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[BOARD / MANAGEMENT BODY / EXECUTIVE]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VERSION</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[1.0]</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EFFECTIVE DATE</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NEXT REVIEW</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7"/>
              </w:rPr>
              <w:t>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7"/>
              </w:rPr>
              <w:t>Controlled value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Document ID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D11</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Document title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ICT Provider Compliance Pack</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Owner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[Provider Owner / Legal]</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Approval authority</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[DELEGATED APPROVER / MANAGEMENT BODY FOR MATERIAL RISK]</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Version</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[1.0]</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Effective date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[DD MONTH YYYY]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Review cycle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Before onboarding; annually for critical providers; on material change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Classification</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440"/>
        <w:gridCol w:w="5256"/>
        <w:gridCol w:w="2102"/>
      </w:tblGrid>
      <w:tr>
        <w:trPr>
          <w:tblHeader w:val="true"/>
        </w:trPr>
        <w:tc>
          <w:tcPr>
            <w:tcW w:type="dxa" w:w="1080"/>
            <w:shd w:fill="17365D"/>
            <w:tcMar>
              <w:top w:w="80" w:type="dxa"/>
              <w:start w:w="110" w:type="dxa"/>
              <w:bottom w:w="80" w:type="dxa"/>
              <w:end w:w="110" w:type="dxa"/>
            </w:tcMar>
            <w:vAlign w:val="center"/>
          </w:tcPr>
          <w:p>
            <w:pPr>
              <w:widowControl/>
            </w:pPr>
            <w:r>
              <w:rPr>
                <w:rFonts w:ascii="Calibri" w:hAnsi="Calibri"/>
                <w:b/>
                <w:color w:val="FFFFFF"/>
                <w:sz w:val="16"/>
              </w:rPr>
              <w:t>Version</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Date</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6"/>
              </w:rPr>
              <w:t>Change</w:t>
            </w:r>
          </w:p>
        </w:tc>
        <w:tc>
          <w:tcPr>
            <w:tcW w:type="dxa" w:w="2102"/>
            <w:shd w:fill="17365D"/>
            <w:tcMar>
              <w:top w:w="80" w:type="dxa"/>
              <w:start w:w="110" w:type="dxa"/>
              <w:bottom w:w="80" w:type="dxa"/>
              <w:end w:w="110" w:type="dxa"/>
            </w:tcMar>
            <w:vAlign w:val="center"/>
          </w:tcPr>
          <w:p>
            <w:pPr>
              <w:widowControl/>
            </w:pPr>
            <w:r>
              <w:rPr>
                <w:rFonts w:ascii="Calibri" w:hAnsi="Calibri"/>
                <w:b/>
                <w:color w:val="FFFFFF"/>
                <w:sz w:val="16"/>
              </w:rPr>
              <w:t>Author</w:t>
            </w:r>
          </w:p>
        </w:tc>
      </w:tr>
      <w:tr>
        <w:trPr>
          <w:cantSplit/>
        </w:trPr>
        <w:tc>
          <w:tcPr>
            <w:tcW w:type="dxa" w:w="1080"/>
            <w:tcMar>
              <w:top w:w="80" w:type="dxa"/>
              <w:start w:w="110" w:type="dxa"/>
              <w:bottom w:w="80" w:type="dxa"/>
              <w:end w:w="110" w:type="dxa"/>
            </w:tcMar>
            <w:vAlign w:val="center"/>
          </w:tcPr>
          <w:p>
            <w:pPr>
              <w:widowControl/>
              <w:spacing w:after="0"/>
            </w:pPr>
            <w:r>
              <w:rPr>
                <w:rFonts w:ascii="Calibri" w:hAnsi="Calibri"/>
                <w:b w:val="0"/>
                <w:color w:val="1F2937"/>
                <w:sz w:val="16"/>
              </w:rPr>
              <w:t>0.1</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6"/>
              </w:rPr>
              <w:t>Initial template tailoring</w:t>
            </w:r>
          </w:p>
        </w:tc>
        <w:tc>
          <w:tcPr>
            <w:tcW w:type="dxa" w:w="2102"/>
            <w:tcMar>
              <w:top w:w="80" w:type="dxa"/>
              <w:start w:w="110" w:type="dxa"/>
              <w:bottom w:w="80" w:type="dxa"/>
              <w:end w:w="110" w:type="dxa"/>
            </w:tcMar>
            <w:vAlign w:val="center"/>
          </w:tcPr>
          <w:p>
            <w:pPr>
              <w:widowControl/>
              <w:spacing w:after="0"/>
            </w:pPr>
            <w:r>
              <w:rPr>
                <w:rFonts w:ascii="Calibri" w:hAnsi="Calibri"/>
                <w:b w:val="0"/>
                <w:color w:val="1F2937"/>
                <w:sz w:val="16"/>
              </w:rPr>
              <w:t>[NAME]</w:t>
            </w:r>
          </w:p>
        </w:tc>
      </w:tr>
      <w:tr>
        <w:trPr>
          <w:cantSplit/>
        </w:trPr>
        <w:tc>
          <w:tcPr>
            <w:tcW w:type="dxa" w:w="1080"/>
            <w:tcMar>
              <w:top w:w="80" w:type="dxa"/>
              <w:start w:w="110" w:type="dxa"/>
              <w:bottom w:w="80" w:type="dxa"/>
              <w:end w:w="110" w:type="dxa"/>
            </w:tcMar>
            <w:vAlign w:val="center"/>
            <w:shd w:fill="F8FAFC"/>
          </w:tcPr>
          <w:p>
            <w:pPr>
              <w:widowControl/>
              <w:spacing w:after="0"/>
            </w:pPr>
            <w:r>
              <w:rPr>
                <w:rFonts w:ascii="Calibri" w:hAnsi="Calibri"/>
                <w:b w:val="0"/>
                <w:color w:val="1F2937"/>
                <w:sz w:val="16"/>
              </w:rPr>
              <w:t>1.0</w:t>
            </w:r>
          </w:p>
        </w:tc>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6"/>
              </w:rPr>
              <w:t>First approved version</w:t>
            </w:r>
          </w:p>
        </w:tc>
        <w:tc>
          <w:tcPr>
            <w:tcW w:type="dxa" w:w="2102"/>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r>
    </w:tbl>
    <w:p>
      <w:pPr>
        <w:widowControl/>
        <w:spacing w:after="0"/>
      </w:pPr>
    </w:p>
    <w:p>
      <w:pPr>
        <w:pStyle w:val="Heading1"/>
        <w:widowControl/>
      </w:pPr>
      <w:r>
        <w:t>How to use this provider pack</w:t>
      </w:r>
    </w:p>
    <w:p>
      <w:pPr>
        <w:widowControl/>
      </w:pPr>
      <w:r>
        <w:t>Create one completed pack for each material provider and each provider supporting a critical or important function. Attach evidence by reference rather than embedding sensitive documents unnecessarily. The pack records facts, analysis, decisions and residual risk; it does not replace the D10 prescribed register.</w:t>
      </w:r>
    </w:p>
    <w:p>
      <w:pPr>
        <w:pStyle w:val="Heading1"/>
        <w:widowControl/>
      </w:pPr>
      <w:r>
        <w:t>Part A — Provider and service profile</w:t>
      </w:r>
    </w:p>
    <w:tbl>
      <w:tblPr>
        <w:tblStyle w:val="TableGrid"/>
        <w:tblW w:type="auto" w:w="0"/>
        <w:jc w:val="center"/>
        <w:tblLayout w:type="fixed"/>
        <w:tblLook w:firstColumn="1" w:firstRow="1" w:lastColumn="0" w:lastRow="0" w:noHBand="0" w:noVBand="1" w:val="04A0"/>
      </w:tblPr>
      <w:tblGrid>
        <w:gridCol w:w="3240"/>
        <w:gridCol w:w="6638"/>
      </w:tblGrid>
      <w:tr>
        <w:trPr>
          <w:tblHeader w:val="true"/>
        </w:trPr>
        <w:tc>
          <w:tcPr>
            <w:tcW w:type="dxa" w:w="3240"/>
            <w:shd w:fill="17365D"/>
            <w:tcMar>
              <w:top w:w="80" w:type="dxa"/>
              <w:start w:w="110" w:type="dxa"/>
              <w:bottom w:w="80" w:type="dxa"/>
              <w:end w:w="110" w:type="dxa"/>
            </w:tcMar>
            <w:vAlign w:val="center"/>
          </w:tcPr>
          <w:p>
            <w:pPr>
              <w:widowControl/>
            </w:pPr>
            <w:r>
              <w:rPr>
                <w:rFonts w:ascii="Calibri" w:hAnsi="Calibri"/>
                <w:b/>
                <w:color w:val="FFFFFF"/>
                <w:sz w:val="16"/>
              </w:rPr>
              <w:t>Field</w:t>
            </w:r>
          </w:p>
        </w:tc>
        <w:tc>
          <w:tcPr>
            <w:tcW w:type="dxa" w:w="6638"/>
            <w:shd w:fill="17365D"/>
            <w:tcMar>
              <w:top w:w="80" w:type="dxa"/>
              <w:start w:w="110" w:type="dxa"/>
              <w:bottom w:w="80" w:type="dxa"/>
              <w:end w:w="110" w:type="dxa"/>
            </w:tcMar>
            <w:vAlign w:val="center"/>
          </w:tcPr>
          <w:p>
            <w:pPr>
              <w:widowControl/>
            </w:pPr>
            <w:r>
              <w:rPr>
                <w:rFonts w:ascii="Calibri" w:hAnsi="Calibri"/>
                <w:b/>
                <w:color w:val="FFFFFF"/>
                <w:sz w:val="16"/>
              </w:rPr>
              <w:t>Entry</w:t>
            </w:r>
          </w:p>
        </w:tc>
      </w:tr>
      <w:tr>
        <w:trPr>
          <w:cantSplit/>
        </w:trPr>
        <w:tc>
          <w:tcPr>
            <w:tcW w:type="dxa" w:w="3240"/>
            <w:tcMar>
              <w:top w:w="80" w:type="dxa"/>
              <w:start w:w="110" w:type="dxa"/>
              <w:bottom w:w="80" w:type="dxa"/>
              <w:end w:w="110" w:type="dxa"/>
            </w:tcMar>
            <w:vAlign w:val="center"/>
          </w:tcPr>
          <w:p>
            <w:pPr>
              <w:widowControl/>
              <w:spacing w:after="0"/>
            </w:pPr>
            <w:r>
              <w:rPr>
                <w:rFonts w:ascii="Calibri" w:hAnsi="Calibri"/>
                <w:b/>
                <w:color w:val="1F4D78"/>
                <w:sz w:val="16"/>
              </w:rPr>
              <w:t>Provider legal name / LEI</w:t>
            </w:r>
          </w:p>
        </w:tc>
        <w:tc>
          <w:tcPr>
            <w:tcW w:type="dxa" w:w="6638"/>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shd w:fill="F8FAFC"/>
          </w:tcPr>
          <w:p>
            <w:pPr>
              <w:widowControl/>
              <w:spacing w:after="0"/>
            </w:pPr>
            <w:r>
              <w:rPr>
                <w:rFonts w:ascii="Calibri" w:hAnsi="Calibri"/>
                <w:b/>
                <w:color w:val="1F4D78"/>
                <w:sz w:val="16"/>
              </w:rPr>
              <w:t>Contracting entity</w:t>
            </w:r>
          </w:p>
        </w:tc>
        <w:tc>
          <w:tcPr>
            <w:tcW w:type="dxa" w:w="6638"/>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tcPr>
          <w:p>
            <w:pPr>
              <w:widowControl/>
              <w:spacing w:after="0"/>
            </w:pPr>
            <w:r>
              <w:rPr>
                <w:rFonts w:ascii="Calibri" w:hAnsi="Calibri"/>
                <w:b/>
                <w:color w:val="1F4D78"/>
                <w:sz w:val="16"/>
              </w:rPr>
              <w:t>Service / ICT service type</w:t>
            </w:r>
          </w:p>
        </w:tc>
        <w:tc>
          <w:tcPr>
            <w:tcW w:type="dxa" w:w="6638"/>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shd w:fill="F8FAFC"/>
          </w:tcPr>
          <w:p>
            <w:pPr>
              <w:widowControl/>
              <w:spacing w:after="0"/>
            </w:pPr>
            <w:r>
              <w:rPr>
                <w:rFonts w:ascii="Calibri" w:hAnsi="Calibri"/>
                <w:b/>
                <w:color w:val="1F4D78"/>
                <w:sz w:val="16"/>
              </w:rPr>
              <w:t>Business owner / provider owner</w:t>
            </w:r>
          </w:p>
        </w:tc>
        <w:tc>
          <w:tcPr>
            <w:tcW w:type="dxa" w:w="6638"/>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tcPr>
          <w:p>
            <w:pPr>
              <w:widowControl/>
              <w:spacing w:after="0"/>
            </w:pPr>
            <w:r>
              <w:rPr>
                <w:rFonts w:ascii="Calibri" w:hAnsi="Calibri"/>
                <w:b/>
                <w:color w:val="1F4D78"/>
                <w:sz w:val="16"/>
              </w:rPr>
              <w:t>Functions supported</w:t>
            </w:r>
          </w:p>
        </w:tc>
        <w:tc>
          <w:tcPr>
            <w:tcW w:type="dxa" w:w="6638"/>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shd w:fill="F8FAFC"/>
          </w:tcPr>
          <w:p>
            <w:pPr>
              <w:widowControl/>
              <w:spacing w:after="0"/>
            </w:pPr>
            <w:r>
              <w:rPr>
                <w:rFonts w:ascii="Calibri" w:hAnsi="Calibri"/>
                <w:b/>
                <w:color w:val="1F4D78"/>
                <w:sz w:val="16"/>
              </w:rPr>
              <w:t>Systems / data / locations</w:t>
            </w:r>
          </w:p>
        </w:tc>
        <w:tc>
          <w:tcPr>
            <w:tcW w:type="dxa" w:w="6638"/>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tcPr>
          <w:p>
            <w:pPr>
              <w:widowControl/>
              <w:spacing w:after="0"/>
            </w:pPr>
            <w:r>
              <w:rPr>
                <w:rFonts w:ascii="Calibri" w:hAnsi="Calibri"/>
                <w:b/>
                <w:color w:val="1F4D78"/>
                <w:sz w:val="16"/>
              </w:rPr>
              <w:t>Critical or important function decision</w:t>
            </w:r>
          </w:p>
        </w:tc>
        <w:tc>
          <w:tcPr>
            <w:tcW w:type="dxa" w:w="6638"/>
            <w:tcMar>
              <w:top w:w="80" w:type="dxa"/>
              <w:start w:w="110" w:type="dxa"/>
              <w:bottom w:w="80" w:type="dxa"/>
              <w:end w:w="110" w:type="dxa"/>
            </w:tcMar>
            <w:vAlign w:val="center"/>
          </w:tcPr>
          <w:p>
            <w:pPr>
              <w:widowControl/>
              <w:spacing w:after="0"/>
            </w:pPr>
            <w:r>
              <w:rPr>
                <w:rFonts w:ascii="Calibri" w:hAnsi="Calibri"/>
                <w:b w:val="0"/>
                <w:color w:val="1F2937"/>
                <w:sz w:val="16"/>
              </w:rPr>
              <w:t>Yes / No / TBC — [RATIONALE]</w:t>
            </w:r>
          </w:p>
        </w:tc>
      </w:tr>
      <w:tr>
        <w:trPr>
          <w:cantSplit/>
        </w:trPr>
        <w:tc>
          <w:tcPr>
            <w:tcW w:type="dxa" w:w="3240"/>
            <w:tcMar>
              <w:top w:w="80" w:type="dxa"/>
              <w:start w:w="110" w:type="dxa"/>
              <w:bottom w:w="80" w:type="dxa"/>
              <w:end w:w="110" w:type="dxa"/>
            </w:tcMar>
            <w:vAlign w:val="center"/>
            <w:shd w:fill="F8FAFC"/>
          </w:tcPr>
          <w:p>
            <w:pPr>
              <w:widowControl/>
              <w:spacing w:after="0"/>
            </w:pPr>
            <w:r>
              <w:rPr>
                <w:rFonts w:ascii="Calibri" w:hAnsi="Calibri"/>
                <w:b/>
                <w:color w:val="1F4D78"/>
                <w:sz w:val="16"/>
              </w:rPr>
              <w:t>Direct provider / intragroup</w:t>
            </w:r>
          </w:p>
        </w:tc>
        <w:tc>
          <w:tcPr>
            <w:tcW w:type="dxa" w:w="6638"/>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tcPr>
          <w:p>
            <w:pPr>
              <w:widowControl/>
              <w:spacing w:after="0"/>
            </w:pPr>
            <w:r>
              <w:rPr>
                <w:rFonts w:ascii="Calibri" w:hAnsi="Calibri"/>
                <w:b/>
                <w:color w:val="1F4D78"/>
                <w:sz w:val="16"/>
              </w:rPr>
              <w:t>Material subcontractors / supply chain</w:t>
            </w:r>
          </w:p>
        </w:tc>
        <w:tc>
          <w:tcPr>
            <w:tcW w:type="dxa" w:w="6638"/>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shd w:fill="F8FAFC"/>
          </w:tcPr>
          <w:p>
            <w:pPr>
              <w:widowControl/>
              <w:spacing w:after="0"/>
            </w:pPr>
            <w:r>
              <w:rPr>
                <w:rFonts w:ascii="Calibri" w:hAnsi="Calibri"/>
                <w:b/>
                <w:color w:val="1F4D78"/>
                <w:sz w:val="16"/>
              </w:rPr>
              <w:t>Contract term / renewal / notice</w:t>
            </w:r>
          </w:p>
        </w:tc>
        <w:tc>
          <w:tcPr>
            <w:tcW w:type="dxa" w:w="6638"/>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3240"/>
            <w:tcMar>
              <w:top w:w="80" w:type="dxa"/>
              <w:start w:w="110" w:type="dxa"/>
              <w:bottom w:w="80" w:type="dxa"/>
              <w:end w:w="110" w:type="dxa"/>
            </w:tcMar>
            <w:vAlign w:val="center"/>
          </w:tcPr>
          <w:p>
            <w:pPr>
              <w:widowControl/>
              <w:spacing w:after="0"/>
            </w:pPr>
            <w:r>
              <w:rPr>
                <w:rFonts w:ascii="Calibri" w:hAnsi="Calibri"/>
                <w:b/>
                <w:color w:val="1F4D78"/>
                <w:sz w:val="16"/>
              </w:rPr>
              <w:t>Annual cost / currency</w:t>
            </w:r>
          </w:p>
        </w:tc>
        <w:tc>
          <w:tcPr>
            <w:tcW w:type="dxa" w:w="6638"/>
            <w:tcMar>
              <w:top w:w="80" w:type="dxa"/>
              <w:start w:w="110" w:type="dxa"/>
              <w:bottom w:w="80" w:type="dxa"/>
              <w:end w:w="110" w:type="dxa"/>
            </w:tcMar>
            <w:vAlign w:val="center"/>
          </w:tcPr>
          <w:p>
            <w:pPr>
              <w:widowControl/>
              <w:spacing w:after="0"/>
            </w:pPr>
            <w:r>
              <w:rPr>
                <w:rFonts w:ascii="Calibri" w:hAnsi="Calibri"/>
                <w:b w:val="0"/>
                <w:color w:val="1F2937"/>
                <w:sz w:val="16"/>
              </w:rPr>
              <w:t>[ ]</w:t>
            </w:r>
          </w:p>
        </w:tc>
      </w:tr>
    </w:tbl>
    <w:p>
      <w:pPr>
        <w:widowControl/>
        <w:spacing w:after="0"/>
      </w:pPr>
    </w:p>
    <w:p>
      <w:pPr>
        <w:pStyle w:val="Heading1"/>
        <w:widowControl/>
      </w:pPr>
      <w:r>
        <w:t>Part B — Due-diligence and risk assessment</w:t>
      </w:r>
    </w:p>
    <w:tbl>
      <w:tblPr>
        <w:tblStyle w:val="TableGrid"/>
        <w:tblW w:type="auto" w:w="0"/>
        <w:jc w:val="center"/>
        <w:tblLayout w:type="fixed"/>
        <w:tblLook w:firstColumn="1" w:firstRow="1" w:lastColumn="0" w:lastRow="0" w:noHBand="0" w:noVBand="1" w:val="04A0"/>
      </w:tblPr>
      <w:tblGrid>
        <w:gridCol w:w="3384"/>
        <w:gridCol w:w="2088"/>
        <w:gridCol w:w="2232"/>
        <w:gridCol w:w="2174"/>
      </w:tblGrid>
      <w:tr>
        <w:trPr>
          <w:tblHeader w:val="true"/>
        </w:trPr>
        <w:tc>
          <w:tcPr>
            <w:tcW w:type="dxa" w:w="3384"/>
            <w:shd w:fill="17365D"/>
            <w:tcMar>
              <w:top w:w="80" w:type="dxa"/>
              <w:start w:w="110" w:type="dxa"/>
              <w:bottom w:w="80" w:type="dxa"/>
              <w:end w:w="110" w:type="dxa"/>
            </w:tcMar>
            <w:vAlign w:val="center"/>
          </w:tcPr>
          <w:p>
            <w:pPr>
              <w:widowControl/>
            </w:pPr>
            <w:r>
              <w:rPr>
                <w:rFonts w:ascii="Calibri" w:hAnsi="Calibri"/>
                <w:b/>
                <w:color w:val="FFFFFF"/>
                <w:sz w:val="14"/>
              </w:rPr>
              <w:t>Assessment area</w:t>
            </w:r>
          </w:p>
        </w:tc>
        <w:tc>
          <w:tcPr>
            <w:tcW w:type="dxa" w:w="2088"/>
            <w:shd w:fill="17365D"/>
            <w:tcMar>
              <w:top w:w="80" w:type="dxa"/>
              <w:start w:w="110" w:type="dxa"/>
              <w:bottom w:w="80" w:type="dxa"/>
              <w:end w:w="110" w:type="dxa"/>
            </w:tcMar>
            <w:vAlign w:val="center"/>
          </w:tcPr>
          <w:p>
            <w:pPr>
              <w:widowControl/>
            </w:pPr>
            <w:r>
              <w:rPr>
                <w:rFonts w:ascii="Calibri" w:hAnsi="Calibri"/>
                <w:b/>
                <w:color w:val="FFFFFF"/>
                <w:sz w:val="14"/>
              </w:rPr>
              <w:t>Evidence reviewed</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4"/>
              </w:rPr>
              <w:t>Conclusion / risk</w:t>
            </w:r>
          </w:p>
        </w:tc>
        <w:tc>
          <w:tcPr>
            <w:tcW w:type="dxa" w:w="2174"/>
            <w:shd w:fill="17365D"/>
            <w:tcMar>
              <w:top w:w="80" w:type="dxa"/>
              <w:start w:w="110" w:type="dxa"/>
              <w:bottom w:w="80" w:type="dxa"/>
              <w:end w:w="110" w:type="dxa"/>
            </w:tcMar>
            <w:vAlign w:val="center"/>
          </w:tcPr>
          <w:p>
            <w:pPr>
              <w:widowControl/>
            </w:pPr>
            <w:r>
              <w:rPr>
                <w:rFonts w:ascii="Calibri" w:hAnsi="Calibri"/>
                <w:b/>
                <w:color w:val="FFFFFF"/>
                <w:sz w:val="14"/>
              </w:rPr>
              <w:t>Action / owner</w:t>
            </w:r>
          </w:p>
        </w:tc>
      </w:tr>
      <w:tr>
        <w:trPr>
          <w:cantSplit/>
        </w:trPr>
        <w:tc>
          <w:tcPr>
            <w:tcW w:type="dxa" w:w="3384"/>
            <w:tcMar>
              <w:top w:w="80" w:type="dxa"/>
              <w:start w:w="110" w:type="dxa"/>
              <w:bottom w:w="80" w:type="dxa"/>
              <w:end w:w="110" w:type="dxa"/>
            </w:tcMar>
            <w:vAlign w:val="center"/>
          </w:tcPr>
          <w:p>
            <w:pPr>
              <w:widowControl/>
              <w:spacing w:after="0"/>
            </w:pPr>
            <w:r>
              <w:rPr>
                <w:rFonts w:ascii="Calibri" w:hAnsi="Calibri"/>
                <w:b/>
                <w:color w:val="1F4D78"/>
                <w:sz w:val="14"/>
              </w:rPr>
              <w:t>Reputation, ownership, financial capacity and authorisations</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shd w:fill="F8FAFC"/>
          </w:tcPr>
          <w:p>
            <w:pPr>
              <w:widowControl/>
              <w:spacing w:after="0"/>
            </w:pPr>
            <w:r>
              <w:rPr>
                <w:rFonts w:ascii="Calibri" w:hAnsi="Calibri"/>
                <w:b/>
                <w:color w:val="1F4D78"/>
                <w:sz w:val="14"/>
              </w:rPr>
              <w:t>Skills, staffing, technical capacity and service maturity</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tcPr>
          <w:p>
            <w:pPr>
              <w:widowControl/>
              <w:spacing w:after="0"/>
            </w:pPr>
            <w:r>
              <w:rPr>
                <w:rFonts w:ascii="Calibri" w:hAnsi="Calibri"/>
                <w:b/>
                <w:color w:val="1F4D78"/>
                <w:sz w:val="14"/>
              </w:rPr>
              <w:t>Information-security governance and standards</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shd w:fill="F8FAFC"/>
          </w:tcPr>
          <w:p>
            <w:pPr>
              <w:widowControl/>
              <w:spacing w:after="0"/>
            </w:pPr>
            <w:r>
              <w:rPr>
                <w:rFonts w:ascii="Calibri" w:hAnsi="Calibri"/>
                <w:b/>
                <w:color w:val="1F4D78"/>
                <w:sz w:val="14"/>
              </w:rPr>
              <w:t>Identity/access, encryption, logging, vulnerability and incident controls</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tcPr>
          <w:p>
            <w:pPr>
              <w:widowControl/>
              <w:spacing w:after="0"/>
            </w:pPr>
            <w:r>
              <w:rPr>
                <w:rFonts w:ascii="Calibri" w:hAnsi="Calibri"/>
                <w:b/>
                <w:color w:val="1F4D78"/>
                <w:sz w:val="14"/>
              </w:rPr>
              <w:t>Continuity, recovery, backup and testing</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shd w:fill="F8FAFC"/>
          </w:tcPr>
          <w:p>
            <w:pPr>
              <w:widowControl/>
              <w:spacing w:after="0"/>
            </w:pPr>
            <w:r>
              <w:rPr>
                <w:rFonts w:ascii="Calibri" w:hAnsi="Calibri"/>
                <w:b/>
                <w:color w:val="1F4D78"/>
                <w:sz w:val="14"/>
              </w:rPr>
              <w:t>Data location, confidentiality, return, deletion and portability</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tcPr>
          <w:p>
            <w:pPr>
              <w:widowControl/>
              <w:spacing w:after="0"/>
            </w:pPr>
            <w:r>
              <w:rPr>
                <w:rFonts w:ascii="Calibri" w:hAnsi="Calibri"/>
                <w:b/>
                <w:color w:val="1F4D78"/>
                <w:sz w:val="14"/>
              </w:rPr>
              <w:t>Audit evidence, certifications, exclusions and remediation</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shd w:fill="F8FAFC"/>
          </w:tcPr>
          <w:p>
            <w:pPr>
              <w:widowControl/>
              <w:spacing w:after="0"/>
            </w:pPr>
            <w:r>
              <w:rPr>
                <w:rFonts w:ascii="Calibri" w:hAnsi="Calibri"/>
                <w:b/>
                <w:color w:val="1F4D78"/>
                <w:sz w:val="14"/>
              </w:rPr>
              <w:t>Subcontracting model, chain visibility and change control</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tcPr>
          <w:p>
            <w:pPr>
              <w:widowControl/>
              <w:spacing w:after="0"/>
            </w:pPr>
            <w:r>
              <w:rPr>
                <w:rFonts w:ascii="Calibri" w:hAnsi="Calibri"/>
                <w:b/>
                <w:color w:val="1F4D78"/>
                <w:sz w:val="14"/>
              </w:rPr>
              <w:t>Sanctions, geopolitical, legal and ethical considerations</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shd w:fill="F8FAFC"/>
          </w:tcPr>
          <w:p>
            <w:pPr>
              <w:widowControl/>
              <w:spacing w:after="0"/>
            </w:pPr>
            <w:r>
              <w:rPr>
                <w:rFonts w:ascii="Calibri" w:hAnsi="Calibri"/>
                <w:b/>
                <w:color w:val="1F4D78"/>
                <w:sz w:val="14"/>
              </w:rPr>
              <w:t>Concentration, lock-in, substitutability and transition time</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tcPr>
          <w:p>
            <w:pPr>
              <w:widowControl/>
              <w:spacing w:after="0"/>
            </w:pPr>
            <w:r>
              <w:rPr>
                <w:rFonts w:ascii="Calibri" w:hAnsi="Calibri"/>
                <w:b/>
                <w:color w:val="1F4D78"/>
                <w:sz w:val="14"/>
              </w:rPr>
              <w:t>Conflicts of interest and intragroup objectivity</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tcPr>
          <w:p>
            <w:pPr>
              <w:widowControl/>
              <w:spacing w:after="0"/>
            </w:pPr>
            <w:r>
              <w:rPr>
                <w:rFonts w:ascii="Calibri" w:hAnsi="Calibri"/>
                <w:b w:val="0"/>
                <w:color w:val="1F2937"/>
                <w:sz w:val="14"/>
              </w:rPr>
              <w:t>[ACTION / DATE]</w:t>
            </w:r>
          </w:p>
        </w:tc>
      </w:tr>
      <w:tr>
        <w:trPr>
          <w:cantSplit/>
        </w:trPr>
        <w:tc>
          <w:tcPr>
            <w:tcW w:type="dxa" w:w="3384"/>
            <w:tcMar>
              <w:top w:w="80" w:type="dxa"/>
              <w:start w:w="110" w:type="dxa"/>
              <w:bottom w:w="80" w:type="dxa"/>
              <w:end w:w="110" w:type="dxa"/>
            </w:tcMar>
            <w:vAlign w:val="center"/>
            <w:shd w:fill="F8FAFC"/>
          </w:tcPr>
          <w:p>
            <w:pPr>
              <w:widowControl/>
              <w:spacing w:after="0"/>
            </w:pPr>
            <w:r>
              <w:rPr>
                <w:rFonts w:ascii="Calibri" w:hAnsi="Calibri"/>
                <w:b/>
                <w:color w:val="1F4D78"/>
                <w:sz w:val="14"/>
              </w:rPr>
              <w:t>Ability to cooperate with the firm and competent authorities</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[REFERENCE]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4"/>
              </w:rPr>
              <w:t>Adequate / gap / TBC</w:t>
            </w:r>
          </w:p>
        </w:tc>
        <w:tc>
          <w:tcPr>
            <w:tcW w:type="dxa" w:w="2174"/>
            <w:tcMar>
              <w:top w:w="80" w:type="dxa"/>
              <w:start w:w="110" w:type="dxa"/>
              <w:bottom w:w="80" w:type="dxa"/>
              <w:end w:w="110" w:type="dxa"/>
            </w:tcMar>
            <w:vAlign w:val="center"/>
            <w:shd w:fill="F8FAFC"/>
          </w:tcPr>
          <w:p>
            <w:pPr>
              <w:widowControl/>
              <w:spacing w:after="0"/>
            </w:pPr>
            <w:r>
              <w:rPr>
                <w:rFonts w:ascii="Calibri" w:hAnsi="Calibri"/>
                <w:b w:val="0"/>
                <w:color w:val="1F2937"/>
                <w:sz w:val="14"/>
              </w:rPr>
              <w:t>[ACTION / DATE]</w:t>
            </w:r>
          </w:p>
        </w:tc>
      </w:tr>
    </w:tbl>
    <w:p>
      <w:pPr>
        <w:widowControl/>
        <w:spacing w:after="0"/>
      </w:pPr>
    </w:p>
    <w:p>
      <w:pPr>
        <w:pStyle w:val="Heading1"/>
        <w:widowControl/>
      </w:pPr>
      <w:r>
        <w:t>Part C — Article 30 contract compliance</w:t>
      </w:r>
    </w:p>
    <w:tbl>
      <w:tblPr>
        <w:tblStyle w:val="TableGrid"/>
        <w:tblW w:type="auto" w:w="0"/>
        <w:jc w:val="center"/>
        <w:tblLayout w:type="fixed"/>
        <w:tblLook w:firstColumn="1" w:firstRow="1" w:lastColumn="0" w:lastRow="0" w:noHBand="0" w:noVBand="1" w:val="04A0"/>
      </w:tblPr>
      <w:tblGrid>
        <w:gridCol w:w="936"/>
        <w:gridCol w:w="4104"/>
        <w:gridCol w:w="1296"/>
        <w:gridCol w:w="1655"/>
        <w:gridCol w:w="1886"/>
      </w:tblGrid>
      <w:tr>
        <w:trPr>
          <w:tblHeader w:val="true"/>
        </w:trPr>
        <w:tc>
          <w:tcPr>
            <w:tcW w:type="dxa" w:w="936"/>
            <w:shd w:fill="17365D"/>
            <w:tcMar>
              <w:top w:w="80" w:type="dxa"/>
              <w:start w:w="110" w:type="dxa"/>
              <w:bottom w:w="80" w:type="dxa"/>
              <w:end w:w="110" w:type="dxa"/>
            </w:tcMar>
            <w:vAlign w:val="center"/>
          </w:tcPr>
          <w:p>
            <w:pPr>
              <w:widowControl/>
            </w:pPr>
            <w:r>
              <w:rPr>
                <w:rFonts w:ascii="Calibri" w:hAnsi="Calibri"/>
                <w:b/>
                <w:color w:val="FFFFFF"/>
                <w:sz w:val="13"/>
              </w:rPr>
              <w:t>Ref</w:t>
            </w:r>
          </w:p>
        </w:tc>
        <w:tc>
          <w:tcPr>
            <w:tcW w:type="dxa" w:w="4104"/>
            <w:shd w:fill="17365D"/>
            <w:tcMar>
              <w:top w:w="80" w:type="dxa"/>
              <w:start w:w="110" w:type="dxa"/>
              <w:bottom w:w="80" w:type="dxa"/>
              <w:end w:w="110" w:type="dxa"/>
            </w:tcMar>
            <w:vAlign w:val="center"/>
          </w:tcPr>
          <w:p>
            <w:pPr>
              <w:widowControl/>
            </w:pPr>
            <w:r>
              <w:rPr>
                <w:rFonts w:ascii="Calibri" w:hAnsi="Calibri"/>
                <w:b/>
                <w:color w:val="FFFFFF"/>
                <w:sz w:val="13"/>
              </w:rPr>
              <w:t>Required contractual outcome</w:t>
            </w:r>
          </w:p>
        </w:tc>
        <w:tc>
          <w:tcPr>
            <w:tcW w:type="dxa" w:w="1296"/>
            <w:shd w:fill="17365D"/>
            <w:tcMar>
              <w:top w:w="80" w:type="dxa"/>
              <w:start w:w="110" w:type="dxa"/>
              <w:bottom w:w="80" w:type="dxa"/>
              <w:end w:w="110" w:type="dxa"/>
            </w:tcMar>
            <w:vAlign w:val="center"/>
          </w:tcPr>
          <w:p>
            <w:pPr>
              <w:widowControl/>
            </w:pPr>
            <w:r>
              <w:rPr>
                <w:rFonts w:ascii="Calibri" w:hAnsi="Calibri"/>
                <w:b/>
                <w:color w:val="FFFFFF"/>
                <w:sz w:val="13"/>
              </w:rPr>
              <w:t>Status</w:t>
            </w:r>
          </w:p>
        </w:tc>
        <w:tc>
          <w:tcPr>
            <w:tcW w:type="dxa" w:w="1655"/>
            <w:shd w:fill="17365D"/>
            <w:tcMar>
              <w:top w:w="80" w:type="dxa"/>
              <w:start w:w="110" w:type="dxa"/>
              <w:bottom w:w="80" w:type="dxa"/>
              <w:end w:w="110" w:type="dxa"/>
            </w:tcMar>
            <w:vAlign w:val="center"/>
          </w:tcPr>
          <w:p>
            <w:pPr>
              <w:widowControl/>
            </w:pPr>
            <w:r>
              <w:rPr>
                <w:rFonts w:ascii="Calibri" w:hAnsi="Calibri"/>
                <w:b/>
                <w:color w:val="FFFFFF"/>
                <w:sz w:val="13"/>
              </w:rPr>
              <w:t>Clause / evidence</w:t>
            </w:r>
          </w:p>
        </w:tc>
        <w:tc>
          <w:tcPr>
            <w:tcW w:type="dxa" w:w="1886"/>
            <w:shd w:fill="17365D"/>
            <w:tcMar>
              <w:top w:w="80" w:type="dxa"/>
              <w:start w:w="110" w:type="dxa"/>
              <w:bottom w:w="80" w:type="dxa"/>
              <w:end w:w="110" w:type="dxa"/>
            </w:tcMar>
            <w:vAlign w:val="center"/>
          </w:tcPr>
          <w:p>
            <w:pPr>
              <w:widowControl/>
            </w:pPr>
            <w:r>
              <w:rPr>
                <w:rFonts w:ascii="Calibri" w:hAnsi="Calibri"/>
                <w:b/>
                <w:color w:val="FFFFFF"/>
                <w:sz w:val="13"/>
              </w:rPr>
              <w:t>Remediation / risk decision</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30(1)</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Written agreement available in one document or clearly identified connected documents.</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shd w:fill="F8FAFC"/>
          </w:tcPr>
          <w:p>
            <w:pPr>
              <w:widowControl/>
              <w:spacing w:after="0"/>
            </w:pPr>
            <w:r>
              <w:rPr>
                <w:rFonts w:ascii="Calibri" w:hAnsi="Calibri"/>
                <w:b/>
                <w:color w:val="1F4D78"/>
                <w:sz w:val="13"/>
              </w:rPr>
              <w:t>30(2)(a)</w:t>
            </w:r>
          </w:p>
        </w:tc>
        <w:tc>
          <w:tcPr>
            <w:tcW w:type="dxa" w:w="4104"/>
            <w:tcMar>
              <w:top w:w="80" w:type="dxa"/>
              <w:start w:w="110" w:type="dxa"/>
              <w:bottom w:w="80" w:type="dxa"/>
              <w:end w:w="110" w:type="dxa"/>
            </w:tcMar>
            <w:vAlign w:val="center"/>
            <w:shd w:fill="F8FAFC"/>
          </w:tcPr>
          <w:p>
            <w:pPr>
              <w:widowControl/>
              <w:spacing w:after="0"/>
            </w:pPr>
            <w:r>
              <w:rPr>
                <w:rFonts w:ascii="Calibri" w:hAnsi="Calibri"/>
                <w:b w:val="0"/>
                <w:color w:val="1F2937"/>
                <w:sz w:val="13"/>
              </w:rPr>
              <w:t>Clear and complete description of functions and ICT services, including whether subcontracting is permitted and conditions.</w:t>
            </w:r>
          </w:p>
        </w:tc>
        <w:tc>
          <w:tcPr>
            <w:tcW w:type="dxa" w:w="1296"/>
            <w:tcMar>
              <w:top w:w="80" w:type="dxa"/>
              <w:start w:w="110" w:type="dxa"/>
              <w:bottom w:w="80" w:type="dxa"/>
              <w:end w:w="110" w:type="dxa"/>
            </w:tcMar>
            <w:vAlign w:val="center"/>
            <w:shd w:fill="F8FAFC"/>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shd w:fill="F8FAFC"/>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shd w:fill="F8FAFC"/>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30(2)(b)</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Locations where contracted/subcontracted functions and services are provided and data processed/stored; advance notice of changes.</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shd w:fill="F8FAFC"/>
          </w:tcPr>
          <w:p>
            <w:pPr>
              <w:widowControl/>
              <w:spacing w:after="0"/>
            </w:pPr>
            <w:r>
              <w:rPr>
                <w:rFonts w:ascii="Calibri" w:hAnsi="Calibri"/>
                <w:b/>
                <w:color w:val="1F4D78"/>
                <w:sz w:val="13"/>
              </w:rPr>
              <w:t>30(2)(c)</w:t>
            </w:r>
          </w:p>
        </w:tc>
        <w:tc>
          <w:tcPr>
            <w:tcW w:type="dxa" w:w="4104"/>
            <w:tcMar>
              <w:top w:w="80" w:type="dxa"/>
              <w:start w:w="110" w:type="dxa"/>
              <w:bottom w:w="80" w:type="dxa"/>
              <w:end w:w="110" w:type="dxa"/>
            </w:tcMar>
            <w:vAlign w:val="center"/>
            <w:shd w:fill="F8FAFC"/>
          </w:tcPr>
          <w:p>
            <w:pPr>
              <w:widowControl/>
              <w:spacing w:after="0"/>
            </w:pPr>
            <w:r>
              <w:rPr>
                <w:rFonts w:ascii="Calibri" w:hAnsi="Calibri"/>
                <w:b w:val="0"/>
                <w:color w:val="1F2937"/>
                <w:sz w:val="13"/>
              </w:rPr>
              <w:t>Availability, authenticity, integrity and confidentiality, including personal-data protection.</w:t>
            </w:r>
          </w:p>
        </w:tc>
        <w:tc>
          <w:tcPr>
            <w:tcW w:type="dxa" w:w="1296"/>
            <w:tcMar>
              <w:top w:w="80" w:type="dxa"/>
              <w:start w:w="110" w:type="dxa"/>
              <w:bottom w:w="80" w:type="dxa"/>
              <w:end w:w="110" w:type="dxa"/>
            </w:tcMar>
            <w:vAlign w:val="center"/>
            <w:shd w:fill="F8FAFC"/>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shd w:fill="F8FAFC"/>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shd w:fill="F8FAFC"/>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30(2)(d)</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Access, recovery and return of personal and non-personal data in accessible format on insolvency, discontinuation or termination.</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shd w:fill="F8FAFC"/>
          </w:tcPr>
          <w:p>
            <w:pPr>
              <w:widowControl/>
              <w:spacing w:after="0"/>
            </w:pPr>
            <w:r>
              <w:rPr>
                <w:rFonts w:ascii="Calibri" w:hAnsi="Calibri"/>
                <w:b/>
                <w:color w:val="1F4D78"/>
                <w:sz w:val="13"/>
              </w:rPr>
              <w:t>30(2)(e)</w:t>
            </w:r>
          </w:p>
        </w:tc>
        <w:tc>
          <w:tcPr>
            <w:tcW w:type="dxa" w:w="4104"/>
            <w:tcMar>
              <w:top w:w="80" w:type="dxa"/>
              <w:start w:w="110" w:type="dxa"/>
              <w:bottom w:w="80" w:type="dxa"/>
              <w:end w:w="110" w:type="dxa"/>
            </w:tcMar>
            <w:vAlign w:val="center"/>
            <w:shd w:fill="F8FAFC"/>
          </w:tcPr>
          <w:p>
            <w:pPr>
              <w:widowControl/>
              <w:spacing w:after="0"/>
            </w:pPr>
            <w:r>
              <w:rPr>
                <w:rFonts w:ascii="Calibri" w:hAnsi="Calibri"/>
                <w:b w:val="0"/>
                <w:color w:val="1F2937"/>
                <w:sz w:val="13"/>
              </w:rPr>
              <w:t>Service-level descriptions, including updates/revisions.</w:t>
            </w:r>
          </w:p>
        </w:tc>
        <w:tc>
          <w:tcPr>
            <w:tcW w:type="dxa" w:w="1296"/>
            <w:tcMar>
              <w:top w:w="80" w:type="dxa"/>
              <w:start w:w="110" w:type="dxa"/>
              <w:bottom w:w="80" w:type="dxa"/>
              <w:end w:w="110" w:type="dxa"/>
            </w:tcMar>
            <w:vAlign w:val="center"/>
            <w:shd w:fill="F8FAFC"/>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shd w:fill="F8FAFC"/>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shd w:fill="F8FAFC"/>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30(2)(f)</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Provider assistance at no additional cost or pre-determined cost for ICT incidents related to the service.</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shd w:fill="F8FAFC"/>
          </w:tcPr>
          <w:p>
            <w:pPr>
              <w:widowControl/>
              <w:spacing w:after="0"/>
            </w:pPr>
            <w:r>
              <w:rPr>
                <w:rFonts w:ascii="Calibri" w:hAnsi="Calibri"/>
                <w:b/>
                <w:color w:val="1F4D78"/>
                <w:sz w:val="13"/>
              </w:rPr>
              <w:t>30(2)(g)</w:t>
            </w:r>
          </w:p>
        </w:tc>
        <w:tc>
          <w:tcPr>
            <w:tcW w:type="dxa" w:w="4104"/>
            <w:tcMar>
              <w:top w:w="80" w:type="dxa"/>
              <w:start w:w="110" w:type="dxa"/>
              <w:bottom w:w="80" w:type="dxa"/>
              <w:end w:w="110" w:type="dxa"/>
            </w:tcMar>
            <w:vAlign w:val="center"/>
            <w:shd w:fill="F8FAFC"/>
          </w:tcPr>
          <w:p>
            <w:pPr>
              <w:widowControl/>
              <w:spacing w:after="0"/>
            </w:pPr>
            <w:r>
              <w:rPr>
                <w:rFonts w:ascii="Calibri" w:hAnsi="Calibri"/>
                <w:b w:val="0"/>
                <w:color w:val="1F2937"/>
                <w:sz w:val="13"/>
              </w:rPr>
              <w:t>Full cooperation with competent authorities and resolution authorities, including persons appointed by them.</w:t>
            </w:r>
          </w:p>
        </w:tc>
        <w:tc>
          <w:tcPr>
            <w:tcW w:type="dxa" w:w="1296"/>
            <w:tcMar>
              <w:top w:w="80" w:type="dxa"/>
              <w:start w:w="110" w:type="dxa"/>
              <w:bottom w:w="80" w:type="dxa"/>
              <w:end w:w="110" w:type="dxa"/>
            </w:tcMar>
            <w:vAlign w:val="center"/>
            <w:shd w:fill="F8FAFC"/>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shd w:fill="F8FAFC"/>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shd w:fill="F8FAFC"/>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30(2)(h)</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Termination rights and minimum notice periods consistent with competent-authority expectations.</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shd w:fill="F8FAFC"/>
          </w:tcPr>
          <w:p>
            <w:pPr>
              <w:widowControl/>
              <w:spacing w:after="0"/>
            </w:pPr>
            <w:r>
              <w:rPr>
                <w:rFonts w:ascii="Calibri" w:hAnsi="Calibri"/>
                <w:b/>
                <w:color w:val="1F4D78"/>
                <w:sz w:val="13"/>
              </w:rPr>
              <w:t>30(2)(i)</w:t>
            </w:r>
          </w:p>
        </w:tc>
        <w:tc>
          <w:tcPr>
            <w:tcW w:type="dxa" w:w="4104"/>
            <w:tcMar>
              <w:top w:w="80" w:type="dxa"/>
              <w:start w:w="110" w:type="dxa"/>
              <w:bottom w:w="80" w:type="dxa"/>
              <w:end w:w="110" w:type="dxa"/>
            </w:tcMar>
            <w:vAlign w:val="center"/>
            <w:shd w:fill="F8FAFC"/>
          </w:tcPr>
          <w:p>
            <w:pPr>
              <w:widowControl/>
              <w:spacing w:after="0"/>
            </w:pPr>
            <w:r>
              <w:rPr>
                <w:rFonts w:ascii="Calibri" w:hAnsi="Calibri"/>
                <w:b w:val="0"/>
                <w:color w:val="1F2937"/>
                <w:sz w:val="13"/>
              </w:rPr>
              <w:t>Provider participation in security-awareness and resilience training developed by the firm where appropriate.</w:t>
            </w:r>
          </w:p>
        </w:tc>
        <w:tc>
          <w:tcPr>
            <w:tcW w:type="dxa" w:w="1296"/>
            <w:tcMar>
              <w:top w:w="80" w:type="dxa"/>
              <w:start w:w="110" w:type="dxa"/>
              <w:bottom w:w="80" w:type="dxa"/>
              <w:end w:w="110" w:type="dxa"/>
            </w:tcMar>
            <w:vAlign w:val="center"/>
            <w:shd w:fill="F8FAFC"/>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shd w:fill="F8FAFC"/>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shd w:fill="F8FAFC"/>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30(3)(a)</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Full service-level descriptions with precise quantitative/qualitative targets enabling effective monitoring and corrective action.</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shd w:fill="F8FAFC"/>
          </w:tcPr>
          <w:p>
            <w:pPr>
              <w:widowControl/>
              <w:spacing w:after="0"/>
            </w:pPr>
            <w:r>
              <w:rPr>
                <w:rFonts w:ascii="Calibri" w:hAnsi="Calibri"/>
                <w:b/>
                <w:color w:val="1F4D78"/>
                <w:sz w:val="13"/>
              </w:rPr>
              <w:t>30(3)(b)</w:t>
            </w:r>
          </w:p>
        </w:tc>
        <w:tc>
          <w:tcPr>
            <w:tcW w:type="dxa" w:w="4104"/>
            <w:tcMar>
              <w:top w:w="80" w:type="dxa"/>
              <w:start w:w="110" w:type="dxa"/>
              <w:bottom w:w="80" w:type="dxa"/>
              <w:end w:w="110" w:type="dxa"/>
            </w:tcMar>
            <w:vAlign w:val="center"/>
            <w:shd w:fill="F8FAFC"/>
          </w:tcPr>
          <w:p>
            <w:pPr>
              <w:widowControl/>
              <w:spacing w:after="0"/>
            </w:pPr>
            <w:r>
              <w:rPr>
                <w:rFonts w:ascii="Calibri" w:hAnsi="Calibri"/>
                <w:b w:val="0"/>
                <w:color w:val="1F2937"/>
                <w:sz w:val="13"/>
              </w:rPr>
              <w:t>Notice periods and reporting obligations for developments that may materially affect service delivery.</w:t>
            </w:r>
          </w:p>
        </w:tc>
        <w:tc>
          <w:tcPr>
            <w:tcW w:type="dxa" w:w="1296"/>
            <w:tcMar>
              <w:top w:w="80" w:type="dxa"/>
              <w:start w:w="110" w:type="dxa"/>
              <w:bottom w:w="80" w:type="dxa"/>
              <w:end w:w="110" w:type="dxa"/>
            </w:tcMar>
            <w:vAlign w:val="center"/>
            <w:shd w:fill="F8FAFC"/>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shd w:fill="F8FAFC"/>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shd w:fill="F8FAFC"/>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30(3)(c)</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Business-contingency plans, security measures/tools/policies and testing; assistance in TLPT where applicable.</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shd w:fill="F8FAFC"/>
          </w:tcPr>
          <w:p>
            <w:pPr>
              <w:widowControl/>
              <w:spacing w:after="0"/>
            </w:pPr>
            <w:r>
              <w:rPr>
                <w:rFonts w:ascii="Calibri" w:hAnsi="Calibri"/>
                <w:b/>
                <w:color w:val="1F4D78"/>
                <w:sz w:val="13"/>
              </w:rPr>
              <w:t>30(3)(d)</w:t>
            </w:r>
          </w:p>
        </w:tc>
        <w:tc>
          <w:tcPr>
            <w:tcW w:type="dxa" w:w="4104"/>
            <w:tcMar>
              <w:top w:w="80" w:type="dxa"/>
              <w:start w:w="110" w:type="dxa"/>
              <w:bottom w:w="80" w:type="dxa"/>
              <w:end w:w="110" w:type="dxa"/>
            </w:tcMar>
            <w:vAlign w:val="center"/>
            <w:shd w:fill="F8FAFC"/>
          </w:tcPr>
          <w:p>
            <w:pPr>
              <w:widowControl/>
              <w:spacing w:after="0"/>
            </w:pPr>
            <w:r>
              <w:rPr>
                <w:rFonts w:ascii="Calibri" w:hAnsi="Calibri"/>
                <w:b w:val="0"/>
                <w:color w:val="1F2937"/>
                <w:sz w:val="13"/>
              </w:rPr>
              <w:t>Right to monitor performance continuously, including unrestricted access/inspection/audit rights for firm, appointed third party and competent authority; cooperation and alternative assurance; scope/frequency/procedure.</w:t>
            </w:r>
          </w:p>
        </w:tc>
        <w:tc>
          <w:tcPr>
            <w:tcW w:type="dxa" w:w="1296"/>
            <w:tcMar>
              <w:top w:w="80" w:type="dxa"/>
              <w:start w:w="110" w:type="dxa"/>
              <w:bottom w:w="80" w:type="dxa"/>
              <w:end w:w="110" w:type="dxa"/>
            </w:tcMar>
            <w:vAlign w:val="center"/>
            <w:shd w:fill="F8FAFC"/>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shd w:fill="F8FAFC"/>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shd w:fill="F8FAFC"/>
          </w:tcPr>
          <w:p>
            <w:pPr>
              <w:widowControl/>
              <w:spacing w:after="0"/>
            </w:pPr>
            <w:r>
              <w:rPr>
                <w:rFonts w:ascii="Calibri" w:hAnsi="Calibri"/>
                <w:b w:val="0"/>
                <w:color w:val="1F2937"/>
                <w:sz w:val="13"/>
              </w:rPr>
              <w:t>[ACTION / OWNER / DATE]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color w:val="1F4D78"/>
                <w:sz w:val="13"/>
              </w:rPr>
              <w:t>30(3)(e)</w:t>
            </w:r>
          </w:p>
        </w:tc>
        <w:tc>
          <w:tcPr>
            <w:tcW w:type="dxa" w:w="4104"/>
            <w:tcMar>
              <w:top w:w="80" w:type="dxa"/>
              <w:start w:w="110" w:type="dxa"/>
              <w:bottom w:w="80" w:type="dxa"/>
              <w:end w:w="110" w:type="dxa"/>
            </w:tcMar>
            <w:vAlign w:val="center"/>
          </w:tcPr>
          <w:p>
            <w:pPr>
              <w:widowControl/>
              <w:spacing w:after="0"/>
            </w:pPr>
            <w:r>
              <w:rPr>
                <w:rFonts w:ascii="Calibri" w:hAnsi="Calibri"/>
                <w:b w:val="0"/>
                <w:color w:val="1F2937"/>
                <w:sz w:val="13"/>
              </w:rPr>
              <w:t>Exit strategies, mandatory adequate transition period and continued service to reduce disruption and support migration.</w:t>
            </w:r>
          </w:p>
        </w:tc>
        <w:tc>
          <w:tcPr>
            <w:tcW w:type="dxa" w:w="1296"/>
            <w:tcMar>
              <w:top w:w="80" w:type="dxa"/>
              <w:start w:w="110" w:type="dxa"/>
              <w:bottom w:w="80" w:type="dxa"/>
              <w:end w:w="110" w:type="dxa"/>
            </w:tcMar>
            <w:vAlign w:val="center"/>
          </w:tcPr>
          <w:p>
            <w:pPr>
              <w:widowControl/>
              <w:spacing w:after="0"/>
            </w:pPr>
            <w:r>
              <w:rPr>
                <w:rFonts w:ascii="Calibri" w:hAnsi="Calibri"/>
                <w:b w:val="0"/>
                <w:color w:val="1F2937"/>
                <w:sz w:val="13"/>
              </w:rPr>
              <w:t>Compliant / partial / gap / N/A</w:t>
            </w:r>
          </w:p>
        </w:tc>
        <w:tc>
          <w:tcPr>
            <w:tcW w:type="dxa" w:w="1655"/>
            <w:tcMar>
              <w:top w:w="80" w:type="dxa"/>
              <w:start w:w="110" w:type="dxa"/>
              <w:bottom w:w="80" w:type="dxa"/>
              <w:end w:w="110" w:type="dxa"/>
            </w:tcMar>
            <w:vAlign w:val="center"/>
          </w:tcPr>
          <w:p>
            <w:pPr>
              <w:widowControl/>
              <w:spacing w:after="0"/>
            </w:pPr>
            <w:r>
              <w:rPr>
                <w:rFonts w:ascii="Calibri" w:hAnsi="Calibri"/>
                <w:b w:val="0"/>
                <w:color w:val="1F2937"/>
                <w:sz w:val="13"/>
              </w:rPr>
              <w:t>[CLAUSE]</w:t>
            </w:r>
          </w:p>
        </w:tc>
        <w:tc>
          <w:tcPr>
            <w:tcW w:type="dxa" w:w="1886"/>
            <w:tcMar>
              <w:top w:w="80" w:type="dxa"/>
              <w:start w:w="110" w:type="dxa"/>
              <w:bottom w:w="80" w:type="dxa"/>
              <w:end w:w="110" w:type="dxa"/>
            </w:tcMar>
            <w:vAlign w:val="center"/>
          </w:tcPr>
          <w:p>
            <w:pPr>
              <w:widowControl/>
              <w:spacing w:after="0"/>
            </w:pPr>
            <w:r>
              <w:rPr>
                <w:rFonts w:ascii="Calibri" w:hAnsi="Calibri"/>
                <w:b w:val="0"/>
                <w:color w:val="1F2937"/>
                <w:sz w:val="13"/>
              </w:rPr>
              <w:t>[ACTION / OWNER / DATE]</w:t>
            </w:r>
          </w:p>
        </w:tc>
      </w:tr>
    </w:tbl>
    <w:p>
      <w:pPr>
        <w:widowControl/>
        <w:spacing w:after="0"/>
      </w:pPr>
    </w:p>
    <w:p>
      <w:pPr>
        <w:pStyle w:val="Heading1"/>
        <w:widowControl/>
      </w:pPr>
      <w:r>
        <w:t>Part D — Concentration and substitutability assessment</w:t>
      </w:r>
    </w:p>
    <w:tbl>
      <w:tblPr>
        <w:tblStyle w:val="TableGrid"/>
        <w:tblW w:type="auto" w:w="0"/>
        <w:jc w:val="center"/>
        <w:tblLayout w:type="fixed"/>
        <w:tblLook w:firstColumn="1" w:firstRow="1" w:lastColumn="0" w:lastRow="0" w:noHBand="0" w:noVBand="1" w:val="04A0"/>
      </w:tblPr>
      <w:tblGrid>
        <w:gridCol w:w="4536"/>
        <w:gridCol w:w="5342"/>
      </w:tblGrid>
      <w:tr>
        <w:trPr>
          <w:tblHeader w:val="true"/>
        </w:trPr>
        <w:tc>
          <w:tcPr>
            <w:tcW w:type="dxa" w:w="4536"/>
            <w:shd w:fill="17365D"/>
            <w:tcMar>
              <w:top w:w="80" w:type="dxa"/>
              <w:start w:w="110" w:type="dxa"/>
              <w:bottom w:w="80" w:type="dxa"/>
              <w:end w:w="110" w:type="dxa"/>
            </w:tcMar>
            <w:vAlign w:val="center"/>
          </w:tcPr>
          <w:p>
            <w:pPr>
              <w:widowControl/>
            </w:pPr>
            <w:r>
              <w:rPr>
                <w:rFonts w:ascii="Calibri" w:hAnsi="Calibri"/>
                <w:b/>
                <w:color w:val="FFFFFF"/>
                <w:sz w:val="16"/>
              </w:rPr>
              <w:t>Factor</w:t>
            </w:r>
          </w:p>
        </w:tc>
        <w:tc>
          <w:tcPr>
            <w:tcW w:type="dxa" w:w="5342"/>
            <w:shd w:fill="17365D"/>
            <w:tcMar>
              <w:top w:w="80" w:type="dxa"/>
              <w:start w:w="110" w:type="dxa"/>
              <w:bottom w:w="80" w:type="dxa"/>
              <w:end w:w="110" w:type="dxa"/>
            </w:tcMar>
            <w:vAlign w:val="center"/>
          </w:tcPr>
          <w:p>
            <w:pPr>
              <w:widowControl/>
            </w:pPr>
            <w:r>
              <w:rPr>
                <w:rFonts w:ascii="Calibri" w:hAnsi="Calibri"/>
                <w:b/>
                <w:color w:val="FFFFFF"/>
                <w:sz w:val="16"/>
              </w:rPr>
              <w:t>Assessment</w:t>
            </w:r>
          </w:p>
        </w:tc>
      </w:tr>
      <w:tr>
        <w:trPr>
          <w:cantSplit/>
        </w:trPr>
        <w:tc>
          <w:tcPr>
            <w:tcW w:type="dxa" w:w="4536"/>
            <w:tcMar>
              <w:top w:w="80" w:type="dxa"/>
              <w:start w:w="110" w:type="dxa"/>
              <w:bottom w:w="80" w:type="dxa"/>
              <w:end w:w="110" w:type="dxa"/>
            </w:tcMar>
            <w:vAlign w:val="center"/>
          </w:tcPr>
          <w:p>
            <w:pPr>
              <w:widowControl/>
              <w:spacing w:after="0"/>
            </w:pPr>
            <w:r>
              <w:rPr>
                <w:rFonts w:ascii="Calibri" w:hAnsi="Calibri"/>
                <w:b/>
                <w:color w:val="1F4D78"/>
                <w:sz w:val="16"/>
              </w:rPr>
              <w:t>Multiple critical services with same provider or group</w:t>
            </w:r>
          </w:p>
        </w:tc>
        <w:tc>
          <w:tcPr>
            <w:tcW w:type="dxa" w:w="5342"/>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shd w:fill="F8FAFC"/>
          </w:tcPr>
          <w:p>
            <w:pPr>
              <w:widowControl/>
              <w:spacing w:after="0"/>
            </w:pPr>
            <w:r>
              <w:rPr>
                <w:rFonts w:ascii="Calibri" w:hAnsi="Calibri"/>
                <w:b/>
                <w:color w:val="1F4D78"/>
                <w:sz w:val="16"/>
              </w:rPr>
              <w:t>Provider shared across multiple functions/entities</w:t>
            </w:r>
          </w:p>
        </w:tc>
        <w:tc>
          <w:tcPr>
            <w:tcW w:type="dxa" w:w="5342"/>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tcPr>
          <w:p>
            <w:pPr>
              <w:widowControl/>
              <w:spacing w:after="0"/>
            </w:pPr>
            <w:r>
              <w:rPr>
                <w:rFonts w:ascii="Calibri" w:hAnsi="Calibri"/>
                <w:b/>
                <w:color w:val="1F4D78"/>
                <w:sz w:val="16"/>
              </w:rPr>
              <w:t>Alternative providers and technical fit</w:t>
            </w:r>
          </w:p>
        </w:tc>
        <w:tc>
          <w:tcPr>
            <w:tcW w:type="dxa" w:w="5342"/>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shd w:fill="F8FAFC"/>
          </w:tcPr>
          <w:p>
            <w:pPr>
              <w:widowControl/>
              <w:spacing w:after="0"/>
            </w:pPr>
            <w:r>
              <w:rPr>
                <w:rFonts w:ascii="Calibri" w:hAnsi="Calibri"/>
                <w:b/>
                <w:color w:val="1F4D78"/>
                <w:sz w:val="16"/>
              </w:rPr>
              <w:t>Data/configuration portability and usable export</w:t>
            </w:r>
          </w:p>
        </w:tc>
        <w:tc>
          <w:tcPr>
            <w:tcW w:type="dxa" w:w="5342"/>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tcPr>
          <w:p>
            <w:pPr>
              <w:widowControl/>
              <w:spacing w:after="0"/>
            </w:pPr>
            <w:r>
              <w:rPr>
                <w:rFonts w:ascii="Calibri" w:hAnsi="Calibri"/>
                <w:b/>
                <w:color w:val="1F4D78"/>
                <w:sz w:val="16"/>
              </w:rPr>
              <w:t>Estimated replacement / insourcing time and cost</w:t>
            </w:r>
          </w:p>
        </w:tc>
        <w:tc>
          <w:tcPr>
            <w:tcW w:type="dxa" w:w="5342"/>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shd w:fill="F8FAFC"/>
          </w:tcPr>
          <w:p>
            <w:pPr>
              <w:widowControl/>
              <w:spacing w:after="0"/>
            </w:pPr>
            <w:r>
              <w:rPr>
                <w:rFonts w:ascii="Calibri" w:hAnsi="Calibri"/>
                <w:b/>
                <w:color w:val="1F4D78"/>
                <w:sz w:val="16"/>
              </w:rPr>
              <w:t>Skills/resources needed for transition</w:t>
            </w:r>
          </w:p>
        </w:tc>
        <w:tc>
          <w:tcPr>
            <w:tcW w:type="dxa" w:w="5342"/>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tcPr>
          <w:p>
            <w:pPr>
              <w:widowControl/>
              <w:spacing w:after="0"/>
            </w:pPr>
            <w:r>
              <w:rPr>
                <w:rFonts w:ascii="Calibri" w:hAnsi="Calibri"/>
                <w:b/>
                <w:color w:val="1F4D78"/>
                <w:sz w:val="16"/>
              </w:rPr>
              <w:t>Jurisdiction / location / sanctions exposure</w:t>
            </w:r>
          </w:p>
        </w:tc>
        <w:tc>
          <w:tcPr>
            <w:tcW w:type="dxa" w:w="5342"/>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shd w:fill="F8FAFC"/>
          </w:tcPr>
          <w:p>
            <w:pPr>
              <w:widowControl/>
              <w:spacing w:after="0"/>
            </w:pPr>
            <w:r>
              <w:rPr>
                <w:rFonts w:ascii="Calibri" w:hAnsi="Calibri"/>
                <w:b/>
                <w:color w:val="1F4D78"/>
                <w:sz w:val="16"/>
              </w:rPr>
              <w:t>Systemic or market-wide dependency</w:t>
            </w:r>
          </w:p>
        </w:tc>
        <w:tc>
          <w:tcPr>
            <w:tcW w:type="dxa" w:w="5342"/>
            <w:tcMar>
              <w:top w:w="80" w:type="dxa"/>
              <w:start w:w="110" w:type="dxa"/>
              <w:bottom w:w="80" w:type="dxa"/>
              <w:end w:w="110" w:type="dxa"/>
            </w:tcMar>
            <w:vAlign w:val="center"/>
            <w:shd w:fill="F8FAFC"/>
          </w:tcPr>
          <w:p>
            <w:pPr>
              <w:widowControl/>
              <w:spacing w:after="0"/>
            </w:pPr>
            <w:r>
              <w:rPr>
                <w:rFonts w:ascii="Calibri" w:hAnsi="Calibri"/>
                <w:b w:val="0"/>
                <w:color w:val="1F2937"/>
                <w:sz w:val="16"/>
              </w:rPr>
              <w:t>[ ]</w:t>
            </w:r>
          </w:p>
        </w:tc>
      </w:tr>
      <w:tr>
        <w:trPr>
          <w:cantSplit/>
        </w:trPr>
        <w:tc>
          <w:tcPr>
            <w:tcW w:type="dxa" w:w="4536"/>
            <w:tcMar>
              <w:top w:w="80" w:type="dxa"/>
              <w:start w:w="110" w:type="dxa"/>
              <w:bottom w:w="80" w:type="dxa"/>
              <w:end w:w="110" w:type="dxa"/>
            </w:tcMar>
            <w:vAlign w:val="center"/>
          </w:tcPr>
          <w:p>
            <w:pPr>
              <w:widowControl/>
              <w:spacing w:after="0"/>
            </w:pPr>
            <w:r>
              <w:rPr>
                <w:rFonts w:ascii="Calibri" w:hAnsi="Calibri"/>
                <w:b/>
                <w:color w:val="1F4D78"/>
                <w:sz w:val="16"/>
              </w:rPr>
              <w:t>Residual single-point-of-failure and decision</w:t>
            </w:r>
          </w:p>
        </w:tc>
        <w:tc>
          <w:tcPr>
            <w:tcW w:type="dxa" w:w="5342"/>
            <w:tcMar>
              <w:top w:w="80" w:type="dxa"/>
              <w:start w:w="110" w:type="dxa"/>
              <w:bottom w:w="80" w:type="dxa"/>
              <w:end w:w="110" w:type="dxa"/>
            </w:tcMar>
            <w:vAlign w:val="center"/>
          </w:tcPr>
          <w:p>
            <w:pPr>
              <w:widowControl/>
              <w:spacing w:after="0"/>
            </w:pPr>
            <w:r>
              <w:rPr>
                <w:rFonts w:ascii="Calibri" w:hAnsi="Calibri"/>
                <w:b w:val="0"/>
                <w:color w:val="1F2937"/>
                <w:sz w:val="16"/>
              </w:rPr>
              <w:t>[ ]</w:t>
            </w:r>
          </w:p>
        </w:tc>
      </w:tr>
    </w:tbl>
    <w:p>
      <w:pPr>
        <w:widowControl/>
        <w:spacing w:after="0"/>
      </w:pPr>
    </w:p>
    <w:p>
      <w:pPr>
        <w:pStyle w:val="Heading1"/>
        <w:widowControl/>
      </w:pPr>
      <w:r>
        <w:t>Part E — Subcontracting assessment</w:t>
      </w:r>
    </w:p>
    <w:p>
      <w:pPr>
        <w:pStyle w:val="ListBullet"/>
        <w:widowControl/>
        <w:ind w:left="461"/>
      </w:pPr>
      <w:r>
        <w:t>Map ICT service supply chain and identify subcontractors supporting critical or important functions or material parts.</w:t>
      </w:r>
    </w:p>
    <w:p>
      <w:pPr>
        <w:pStyle w:val="ListBullet"/>
        <w:widowControl/>
        <w:ind w:left="461"/>
      </w:pPr>
      <w:r>
        <w:t>Assess subcontractors, locations, data, complexity, concentration, continuity, audit/access and monitoring ability.</w:t>
      </w:r>
    </w:p>
    <w:p>
      <w:pPr>
        <w:pStyle w:val="ListBullet"/>
        <w:widowControl/>
        <w:ind w:left="461"/>
      </w:pPr>
      <w:r>
        <w:t>Ensure the direct provider monitors subcontractors, remains responsible and provides information/notice of material changes.</w:t>
      </w:r>
    </w:p>
    <w:p>
      <w:pPr>
        <w:pStyle w:val="ListBullet"/>
        <w:widowControl/>
        <w:ind w:left="461"/>
      </w:pPr>
      <w:r>
        <w:t>Define a reasonable objection period and the firm’s right to object, require change or terminate where risk is unacceptable.</w:t>
      </w:r>
    </w:p>
    <w:p>
      <w:pPr>
        <w:pStyle w:val="ListBullet"/>
        <w:widowControl/>
        <w:ind w:left="461"/>
      </w:pPr>
      <w:r>
        <w:t>Record material subcontracting changes, reassessment, decision and D10 update.</w:t>
      </w:r>
    </w:p>
    <w:p>
      <w:pPr>
        <w:pStyle w:val="Heading1"/>
        <w:widowControl/>
      </w:pPr>
      <w:r>
        <w:t>Part F — Exit plan</w:t>
      </w:r>
    </w:p>
    <w:tbl>
      <w:tblPr>
        <w:tblStyle w:val="TableGrid"/>
        <w:tblW w:type="auto" w:w="0"/>
        <w:jc w:val="center"/>
        <w:tblLayout w:type="fixed"/>
        <w:tblLook w:firstColumn="1" w:firstRow="1" w:lastColumn="0" w:lastRow="0" w:noHBand="0" w:noVBand="1" w:val="04A0"/>
      </w:tblPr>
      <w:tblGrid>
        <w:gridCol w:w="2015"/>
        <w:gridCol w:w="7862"/>
      </w:tblGrid>
      <w:tr>
        <w:trPr>
          <w:tblHeader w:val="true"/>
        </w:trPr>
        <w:tc>
          <w:tcPr>
            <w:tcW w:type="dxa" w:w="2015"/>
            <w:shd w:fill="17365D"/>
            <w:tcMar>
              <w:top w:w="80" w:type="dxa"/>
              <w:start w:w="110" w:type="dxa"/>
              <w:bottom w:w="80" w:type="dxa"/>
              <w:end w:w="110" w:type="dxa"/>
            </w:tcMar>
            <w:vAlign w:val="center"/>
          </w:tcPr>
          <w:p>
            <w:pPr>
              <w:widowControl/>
            </w:pPr>
            <w:r>
              <w:rPr>
                <w:rFonts w:ascii="Calibri" w:hAnsi="Calibri"/>
                <w:b/>
                <w:color w:val="FFFFFF"/>
                <w:sz w:val="16"/>
              </w:rPr>
              <w:t>Element</w:t>
            </w:r>
          </w:p>
        </w:tc>
        <w:tc>
          <w:tcPr>
            <w:tcW w:type="dxa" w:w="7862"/>
            <w:shd w:fill="17365D"/>
            <w:tcMar>
              <w:top w:w="80" w:type="dxa"/>
              <w:start w:w="110" w:type="dxa"/>
              <w:bottom w:w="80" w:type="dxa"/>
              <w:end w:w="110" w:type="dxa"/>
            </w:tcMar>
            <w:vAlign w:val="center"/>
          </w:tcPr>
          <w:p>
            <w:pPr>
              <w:widowControl/>
            </w:pPr>
            <w:r>
              <w:rPr>
                <w:rFonts w:ascii="Calibri" w:hAnsi="Calibri"/>
                <w:b/>
                <w:color w:val="FFFFFF"/>
                <w:sz w:val="16"/>
              </w:rPr>
              <w:t>Plan</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Triggers</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Breach, deterioration, incident, provider weakness, supervision impeded, concentration, strategy or expiry.</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Target end state</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Alternative provider / insource / discontinue / redesign.</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Data</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Inventory, export format, reconciliation, transfer, retention, deletion confirmation.</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Technology</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Dependencies, integrations, configuration, credentials, access removal, tooling.</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Continuity</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Transition service, parallel run, workarounds, capacity and client protection.</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People / resources</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Owner, project team, external support, budget and skills.</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Timeline</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Decision, notice, preparation, migration, validation, cutover and closure.</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Testing</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Tabletop / portability check / backup export / transition rehearsal.</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Communications</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Management, authority, clients, staff, counterparties and providers.</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Residual risk</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Known limitations, interim controls and approval.</w:t>
            </w:r>
          </w:p>
        </w:tc>
      </w:tr>
    </w:tbl>
    <w:p>
      <w:pPr>
        <w:widowControl/>
        <w:spacing w:after="0"/>
      </w:pPr>
    </w:p>
    <w:p>
      <w:pPr>
        <w:pStyle w:val="Heading1"/>
        <w:widowControl/>
      </w:pPr>
      <w:r>
        <w:t>Part G — Approval and monitoring plan</w:t>
      </w:r>
    </w:p>
    <w:tbl>
      <w:tblPr>
        <w:tblStyle w:val="TableGrid"/>
        <w:tblW w:type="auto" w:w="0"/>
        <w:jc w:val="center"/>
        <w:tblLayout w:type="fixed"/>
        <w:tblLook w:firstColumn="1" w:firstRow="1" w:lastColumn="0" w:lastRow="0" w:noHBand="0" w:noVBand="1" w:val="04A0"/>
      </w:tblPr>
      <w:tblGrid>
        <w:gridCol w:w="3168"/>
        <w:gridCol w:w="6710"/>
      </w:tblGrid>
      <w:tr>
        <w:trPr>
          <w:tblHeader w:val="true"/>
        </w:trPr>
        <w:tc>
          <w:tcPr>
            <w:tcW w:type="dxa" w:w="3168"/>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6710"/>
            <w:shd w:fill="17365D"/>
            <w:tcMar>
              <w:top w:w="80" w:type="dxa"/>
              <w:start w:w="110" w:type="dxa"/>
              <w:bottom w:w="80" w:type="dxa"/>
              <w:end w:w="110" w:type="dxa"/>
            </w:tcMar>
            <w:vAlign w:val="center"/>
          </w:tcPr>
          <w:p>
            <w:pPr>
              <w:widowControl/>
            </w:pPr>
            <w:r>
              <w:rPr>
                <w:rFonts w:ascii="Calibri" w:hAnsi="Calibri"/>
                <w:b/>
                <w:color w:val="FFFFFF"/>
                <w:sz w:val="16"/>
              </w:rPr>
              <w:t>Entry</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color w:val="1F4D78"/>
                <w:sz w:val="16"/>
              </w:rPr>
              <w:t>Overall risk rating</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[LOW / MEDIUM / HIGH / CRITICAL]</w:t>
            </w:r>
          </w:p>
        </w:tc>
      </w:tr>
      <w:tr>
        <w:trPr>
          <w:cantSplit/>
        </w:trPr>
        <w:tc>
          <w:tcPr>
            <w:tcW w:type="dxa" w:w="3168"/>
            <w:tcMar>
              <w:top w:w="80" w:type="dxa"/>
              <w:start w:w="110" w:type="dxa"/>
              <w:bottom w:w="80" w:type="dxa"/>
              <w:end w:w="110" w:type="dxa"/>
            </w:tcMar>
            <w:vAlign w:val="center"/>
            <w:shd w:fill="F8FAFC"/>
          </w:tcPr>
          <w:p>
            <w:pPr>
              <w:widowControl/>
              <w:spacing w:after="0"/>
            </w:pPr>
            <w:r>
              <w:rPr>
                <w:rFonts w:ascii="Calibri" w:hAnsi="Calibri"/>
                <w:b/>
                <w:color w:val="1F4D78"/>
                <w:sz w:val="16"/>
              </w:rPr>
              <w:t>Approval</w:t>
            </w:r>
          </w:p>
        </w:tc>
        <w:tc>
          <w:tcPr>
            <w:tcW w:type="dxa" w:w="6710"/>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[APPROVER / DECISION / DATE / CONDITIONS]</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color w:val="1F4D78"/>
                <w:sz w:val="16"/>
              </w:rPr>
              <w:t>Open contractual gaps</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3168"/>
            <w:tcMar>
              <w:top w:w="80" w:type="dxa"/>
              <w:start w:w="110" w:type="dxa"/>
              <w:bottom w:w="80" w:type="dxa"/>
              <w:end w:w="110" w:type="dxa"/>
            </w:tcMar>
            <w:vAlign w:val="center"/>
            <w:shd w:fill="F8FAFC"/>
          </w:tcPr>
          <w:p>
            <w:pPr>
              <w:widowControl/>
              <w:spacing w:after="0"/>
            </w:pPr>
            <w:r>
              <w:rPr>
                <w:rFonts w:ascii="Calibri" w:hAnsi="Calibri"/>
                <w:b/>
                <w:color w:val="1F4D78"/>
                <w:sz w:val="16"/>
              </w:rPr>
              <w:t>Risk acceptance reference</w:t>
            </w:r>
          </w:p>
        </w:tc>
        <w:tc>
          <w:tcPr>
            <w:tcW w:type="dxa" w:w="6710"/>
            <w:tcMar>
              <w:top w:w="80" w:type="dxa"/>
              <w:start w:w="110" w:type="dxa"/>
              <w:bottom w:w="80" w:type="dxa"/>
              <w:end w:w="110" w:type="dxa"/>
            </w:tcMar>
            <w:vAlign w:val="center"/>
            <w:shd w:fill="F8FAFC"/>
          </w:tcPr>
          <w:p>
            <w:pPr>
              <w:widowControl/>
              <w:spacing w:after="0"/>
            </w:pPr>
            <w:r>
              <w:rPr>
                <w:rFonts w:ascii="Calibri" w:hAnsi="Calibri"/>
                <w:b w:val="0"/>
                <w:color w:val="1F2937"/>
                <w:sz w:val="16"/>
              </w:rPr>
              <w:t>[D03 ID]</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color w:val="1F4D78"/>
                <w:sz w:val="16"/>
              </w:rPr>
              <w:t>Monitoring frequency / indicators</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 ]</w:t>
            </w:r>
          </w:p>
        </w:tc>
      </w:tr>
      <w:tr>
        <w:trPr>
          <w:cantSplit/>
        </w:trPr>
        <w:tc>
          <w:tcPr>
            <w:tcW w:type="dxa" w:w="3168"/>
            <w:tcMar>
              <w:top w:w="80" w:type="dxa"/>
              <w:start w:w="110" w:type="dxa"/>
              <w:bottom w:w="80" w:type="dxa"/>
              <w:end w:w="110" w:type="dxa"/>
            </w:tcMar>
            <w:vAlign w:val="center"/>
            <w:shd w:fill="F8FAFC"/>
          </w:tcPr>
          <w:p>
            <w:pPr>
              <w:widowControl/>
              <w:spacing w:after="0"/>
            </w:pPr>
            <w:r>
              <w:rPr>
                <w:rFonts w:ascii="Calibri" w:hAnsi="Calibri"/>
                <w:b/>
                <w:color w:val="1F4D78"/>
                <w:sz w:val="16"/>
              </w:rPr>
              <w:t>Next review</w:t>
            </w:r>
          </w:p>
        </w:tc>
        <w:tc>
          <w:tcPr>
            <w:tcW w:type="dxa" w:w="671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color w:val="1F4D78"/>
                <w:sz w:val="16"/>
              </w:rPr>
              <w:t>Central Bank notification</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[REQUIRED? / DATE / REFERENCE]</w:t>
            </w:r>
          </w:p>
        </w:tc>
      </w:tr>
      <w:tr>
        <w:trPr>
          <w:cantSplit/>
        </w:trPr>
        <w:tc>
          <w:tcPr>
            <w:tcW w:type="dxa" w:w="3168"/>
            <w:tcMar>
              <w:top w:w="80" w:type="dxa"/>
              <w:start w:w="110" w:type="dxa"/>
              <w:bottom w:w="80" w:type="dxa"/>
              <w:end w:w="110" w:type="dxa"/>
            </w:tcMar>
            <w:vAlign w:val="center"/>
            <w:shd w:fill="F8FAFC"/>
          </w:tcPr>
          <w:p>
            <w:pPr>
              <w:widowControl/>
              <w:spacing w:after="0"/>
            </w:pPr>
            <w:r>
              <w:rPr>
                <w:rFonts w:ascii="Calibri" w:hAnsi="Calibri"/>
                <w:b/>
                <w:color w:val="1F4D78"/>
                <w:sz w:val="16"/>
              </w:rPr>
              <w:t>D10 completed / validated</w:t>
            </w:r>
          </w:p>
        </w:tc>
        <w:tc>
          <w:tcPr>
            <w:tcW w:type="dxa" w:w="6710"/>
            <w:tcMar>
              <w:top w:w="80" w:type="dxa"/>
              <w:start w:w="110" w:type="dxa"/>
              <w:bottom w:w="80" w:type="dxa"/>
              <w:end w:w="110" w:type="dxa"/>
            </w:tcMar>
            <w:vAlign w:val="center"/>
            <w:shd w:fill="F8FAFC"/>
          </w:tcPr>
          <w:p>
            <w:pPr>
              <w:widowControl/>
              <w:spacing w:after="0"/>
            </w:pPr>
            <w:r>
              <w:rPr>
                <w:rFonts w:ascii="Calibri" w:hAnsi="Calibri"/>
                <w:b w:val="0"/>
                <w:color w:val="1F2937"/>
                <w:sz w:val="16"/>
              </w:rPr>
              <w:t>[YES / DATE]</w:t>
            </w:r>
          </w:p>
        </w:tc>
      </w:tr>
    </w:tbl>
    <w:p>
      <w:pPr>
        <w:widowControl/>
        <w:spacing w:after="0"/>
      </w:pPr>
    </w:p>
    <w:p>
      <w:pPr>
        <w:widowControl/>
      </w:pPr>
      <w:r>
        <w:br w:type="page"/>
      </w:r>
    </w:p>
    <w:p>
      <w:pPr>
        <w:pStyle w:val="Heading1"/>
        <w:widowControl/>
      </w:pPr>
      <w:r>
        <w:t>Requirements addressed by this deliverable</w:t>
      </w:r>
    </w:p>
    <w:p>
      <w:pPr>
        <w:widowControl/>
      </w:pPr>
      <w:r>
        <w:t>This schedule is generated from the suite’s controlling traceability dataset. Primary and supporting mappings must be reconciled whenever this document changes. 125 requirement records are associated with D11.</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IS-CBI-ADV</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CBI_GUIDE Advance notification</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authority expects advance notification of planned ICT arrangements supporting critical or important functions, when a function becomes critical or important, and relevant changes.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manage ICT third-party risk as an integral component of ICT risk within their ICT risk management framework as referred to in Article 6(1), and in accordance with the following principl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that have in place contractual arrangements for the use of ICT services to run their business operations shall, at all times, remain fully responsible for compliance with, and the discharge 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management of ICT third-party risk shall be implemented in light of the principle of proportionality, taking into account: (i) the nature, scale, complexity and importance of ICT-related dep</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Before entering into a contractual arrangement on the use of ICT services, financial entities shall: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28(4)(a)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assess whether the contractual arrangement covers the use of ICT services supporting a critical or important function;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28(4)(b)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assess if supervisory conditions for contracting are met;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28(4)(c)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identify and assess all relevant risks in relation to the contractual arrangement, including the possibility that such contractual arrangement may contribute to reinforcing ICT concentration risk as referred 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DORA-A28-P4-D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28(4)(d)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undertake all due diligence on prospective ICT third-party service providers and ensure throughout the selection and assessment processes that the ICT third-party service provider is suitable;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DORA-A28-P4-E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28(4)(e)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identify and assess conflicts of interest that the contractual arrangement may cause.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may only enter into contractual arrangements with ICT third-party service providers that comply with appropriate information security standards. When those contractual arrangements concern cr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exercising access, inspection and audit rights over the ICT third-party service provider, financial entities shall, on the basis of a risk-based approach, pre-determine the frequency of audits and inspection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DORA-A28-P6-18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Where contractual arrangements concluded with ICT third-party service providers on the use of ICT services entail high technical complexity, the financial entity shall verify that auditors, whether internal or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ensure that contractual arrangements on the use of ICT services may be terminated in any of the following circumstances: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DORA-A28-P7-A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28(7)(a)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significant breach by the ICT third-party service provider of applicable laws, regulations or contractual terms;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DORA-A28-P7-B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28(7)(b)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circumstances identified throughout the monitoring of ICT third-party risk that are deemed capable of altering the performance of the functions provided through the contractual arrangement, including material 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DORA-A28-P7-C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28(7)(c)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ICT third-party service provider’s evidenced weaknesses pertaining to its overall ICT risk management and in particular in the way it ensures the availability, authenticity, integrity and, confidentiality, of 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DORA-A28-P7-D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28(7)(d)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the competent authority can no longer effectively supervise the financial entity as a result of the conditions of, or circumstances related to, the respective contractual arrangement.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ICT services supporting critical or important functions, financial entities shall put in place exit strategies. The exit strategies shall take into account risks that may emerge at the level of ICT third-pa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DORA-A28-P8-25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ensure that they are able to exit contractual arrangements without: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DORA-A28-P8-26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Exit plans shall be comprehensive, documented and, in accordance with the criteria set out in Article 4(2), shall be sufficiently tested and reviewed periodically.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DORA-A28-P8-27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identify alternative solutions and develop transition plans enabling them to remove the contracted ICT services and the relevant data from the ICT third-party service provider and to se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DORA-A28-P8-28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have appropriate contingency measures in place to maintain business continuity in the event of the circumstances referred to in the first subparagraph.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disruption to their business activities,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DORA-A28-P8-B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28(8)(b)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limiting compliance with regulatory requirements,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DORA-A28-P8-C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28(8)(c)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detriment to the continuity and quality of services provided to clients.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When performing the identification and assessment of risks referred to in Article 28(4), point (c), financial entities shall also take into account whether the envisaged conclusion of a contractual arrangement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weigh the benefits and costs of alternative solutions, such as the use of different ICT third-party service providers, taking into account if and how envisaged solutions match the busin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contracting an ICT third-party service provider that is not easily substitutable; 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having in place multiple contractual arrangements in relation to the provision of ICT services supporting critical or important functions with the same ICT third-party service provider or with closely connected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the contractual arrangements on the use of ICT services supporting critical or important functions include the possibility that an ICT third-party service provider further subcontracts ICT services suppor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DORA-A29-P2-6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contractual arrangements concern ICT services supporting critical or important functions, financial entities shall duly consider the insolvency law provisions that would apply in the event of the ICT thir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DORA-A29-P2-7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contractual arrangements on the use of ICT services supporting critical or important functions are concluded with an ICT third-party service provider established in a third country, financial entities sha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DORA-A29-P2-8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D — Concentration and substitutability assessment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the contractual arrangements on the use of ICT services supporting critical or important functions provide for subcontracting, financial entities shall assess whether and how potentially long or complex 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rights and obligations of the financial entity and of the ICT third-party service provider shall be clearly allocated and set out in writing. The full contract shall include the service level agreements and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contractual arrangements on the use of ICT services shall include at least the following elements: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a clear and complete description of all functions and ICT services to be provided by the ICT third-party service provider, indicating whether subcontracting of an ICT service supporting a critical or important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locations, namely the regions or countries, where the contracted or subcontracted functions and ICT services are to be provided and where data is to be processed, including the storage location, and the req</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provisions on availability, authenticity, integrity and confidentiality in relation to the protection of data, including personal data;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provisions on ensuring access, recovery and return in an easily accessible format of personal and non-personal data processed by the financial entity in the event of the insolvency, resolution or discontinuatio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service level descriptions, including updates and revisions thereof;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obligation of the ICT third-party service provider to provide assistance to the financial entity at no additional cost, or at a cost that is determined ex-ante , when an ICT incident that is related to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obligation of the ICT third-party service provider to fully cooperate with the competent authorities and the resolution authorities of the financial entity, including persons appointed by them;</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30(2)(h)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termination rights and related minimum notice periods for the termination of the contractual arrangements, in accordance with the expectations of competent authorities and resolution authorities;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DORA-A30-P2-I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30(2)(i)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conditions for the participation of ICT third-party service providers in the financial entities’ ICT security awareness programmes and digital operational resilience training in accordance with Article 13(6</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contractual arrangements on the use of ICT services supporting critical or important functions shall include, in addition to the elements referred to in paragraph 2, at least the following:</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By way of derogation from point (e), the ICT third-party service provider and the financial entity that is a microenterprise may agree that the financial entity’s rights of access, inspection and audit can be 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full service level descriptions, including updates and revisions thereof with precise quantitative and qualitative performance targets within the agreed service levels to allow effective monitoring by the finan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notice periods and reporting obligations of the ICT third-party service provider to the financial entity, including notification of any development that might have a material impact on the ICT third-party servi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requirements for the ICT third-party service provider to implement and test business contingency plans and to have in place ICT security measures, tools and policies that provide an appropriate level of securit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obligation of the ICT third-party service provider to participate and fully cooperate in the financial entity’s TLPT as referred to in Articles 26 and 27;</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DORA-A30-P3-E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30(3)(e)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right to monitor, on an ongoing basis, the ICT third-party service provider’s performance, which entails the following: (i) unrestricted rights of access, inspection and audit by the financial entity, or an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DORA-A30-P3-F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30(3)(f)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exit strategies, in particular the establishment of a mandatory adequate transition period: (i) during which the ICT third-party service provider will continue providing the respective functions, or ICT service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When negotiating contractual arrangements, financial entities and ICT third-party service providers shall consider the use of standard contractual clauses developed by public authorities for specific services.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through the Joint Committee, develop draft regulatory technical standards to specify further the elements referred to in paragraph 2, point (a), which a financial entity needs to determine and 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DORA-A30-P5-22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When developing those draft regulatory technical standards, the ESAs shall take into consideration the size and overall risk profile of the financial entity, and the nature, scale and complexity of its services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DORA-A30-P5-23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submit those draft regulatory technical standards to the Commission by 17 July 2024.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DORA-A30-P5-24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30(5)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and Contract Matrix — Mandatory contractual provisions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Power is delegated to the Commission to supplement this Regulation by adopting the regulatory technical standards referred to in the first subparagraph in accordance with Articles 10 to 14 of Regulations (EU) 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policy on the use of ICT services supporting critical or important functions provided by ICT third-party service providers (the ‘policy’) shall take into account the size and the overall risk profile of the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policy shall contain requirements for a documented exit plan for each contractual arrangement and for the periodic review and testing of the documented exit plan. When establishing the exit plan, the follow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Where this Regulation applies on a sub-consolidated or consolidated basis, the parent undertaking that is responsible for providing the consolidated or sub-consolidated financial statements for the group shall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management body shall review the policy at least once a year and update it where necessary. Changes made to the policy shall be implemented in a timely manner and as soon as it is possible within the releva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policy shall specify the requirements, including the rules, the responsibilities and the processes, for each main phase of the lifecycle of the contractual arrangement, covering at least the following: the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policy shall require that the business needs of the financial entity are defined before a contractual arrangement is concluded. The policy shall require that a risk assessment is conducted at financial enti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policy shall set out an appropriate and proportionate process for selecting and assessing the prospective ICT third-party service providers taking into account whether or not the ICT third party service pro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policy shall specify the appropriate measures to identify, prevent and manage actual or potential conflicts of interest arising from the use of ICT third-party service providers that are to be taken before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RTS1773 Article 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policy shall specify that the relevant contractual arrangement are to be in written form and are to include all the elements referred to in Article 30(2) and (3) of Regulation (EU) 2022/2554. The policy sha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9</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policy shall require that the contractual arrangements specify the measures and key indicators to monitor, on an ongoing basis, the performance of ICT third party service providers, including measures to mo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RTS1774-A37-Part_37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37(art_37)</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Article 16(1) of Regulation (EU) 2022/2554 shall design and implement, where appropriate, a procedure governing the acquisition, development, and maintenance of ICT systems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RTS1774-A37-Part_37-A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37(art_37)(a)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ensure that, before any acquisition or development of ICT systems takes place, the functional and non-functional requirements, including information security requirements, are clearly specified and approved by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RTS1774-A37-Part_37-B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37(art_37)(b)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ensure the testing and approval of ICT systems prior to their first use and before introducing changes to the production environment;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RTS1774-A37-Part_37-C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37(art_37)(c)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identify measures to mitigate the risk of unintentional alteration or intentional manipulation of the ICT systems during development and implementation in the production environment.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take into account their size and their overall risk profile and the nature, scale, and elements of increased or reduced complexity of their services, activities and operations, includin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type of ICT services that support critical or important functions covered by the contractual arrangement between the financial entity and the ICT third-party service provider;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type of ICT services covered by the contractual arrangement between the ICT-third party service provider and its subcontractors;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location of the ICT subcontractor providing ICT services that support critical or important functions or a material part thereof, or of its parent company;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length and complexity of the chain of subcontractors providing ICT services that support critical or important functions or material parts thereof used by the ICT third-party service provider;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nature of the data shared with the ICT subcontractors providing ICT services that support critical or important functions or material parts thereof;</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whether the ICT services that support critical or important functions or material parts thereof are provided by subcontractors, located within a Member State or in a third country, including the location where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whether the ICT subcontractors providing ICT services that support critical or important functions or material parts thereof are part of the same group as the financial entity to which those services are provid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whether the ICT subcontractors providing ICT services that support critical or important functions or material parts thereof are authorised, registered or subject to supervision or oversight by a competent auth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1(art_1)(i)</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whether the ICT third-party service providers that support critical or important functions or material parts thereof are authorised, registered or subject to supervision or oversight by a supervisory authority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1(art_1)(j)</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whether the provision of ICT services supporting critical or important functions or material parts thereof is concentrated to a single subcontractor of an ICT third-party service provider or a small number of 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RTS532-A01-Part_1-K</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1(art_1)(k)</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whether the subcontracting of ICT services that support critical or important functions or material parts would impact the transferability of those ICT services to another ICT third-party service provider;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RTS532-A01-Part_1-L</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1(art_1)(l)</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potential impact of disruptions on the continuity and availability of the ICT services that support critical or important functions or material parts thereof provided by the ICT third-party service provider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RTS532-A02-Part_2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2(art_2)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Where this Regulation applies on a sub-consolidated or consolidated basis, the parent undertaking that is responsible for providing the consolidated or sub-consolidated financial statements for the group shall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financial entity shall, before entering into a contractual arrangement with an ICT third-party service provider, decide whether that ICT third-party service provider may subcontract an ICT service that suppor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due diligence processes on the ICT third-party service provider ensure that it is able to select and assess the operational and financial abilities of potential ICT subcontractors to provide the ICT service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ICT third-party service provider is able to identify all subcontractors that provide ICT services that support critical or important functions or material parts thereof, to notify and inform the financial 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ICT third-party service provider ensures that the contractual arrangements with the subcontractors that provide ICT services that support critical or important functions or material parts thereof enable the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subcontractor grants the financial entity and competent and resolution authorities the same contractual rights of access and inspection as those granted by the ICT third-party service provider;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without prejudice to the financial entity’s final responsibility to comply with its legal and regulatory obligations, the ICT third-party service provider itself has sufficient ability, expertise, and adequate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entity has sufficient abilities, expertise, and adequate financial, human and technical resources to monitor the ICT risks relating to the service supporting critical or important functions or mat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entity has assessed the impact on the financial entity’s digital operational resilience and financial soundness of a possible failure of a subcontractor that provides ICT services that support cri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entity has assessed the risks associated with the location of the potential subcontractors in relation to the ICT services that support critical or important functions or a material part thereof p</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3(1)(i)</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entity has assessed the ICT concentration risks at entity level in accordance with Article 29 of Regulation (EU) 2022/2554;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3(1)(j)</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financial entity has assessed whether there are any obstacles to the exercise of audit, inspection and access rights by the competent authorities, resolution authorities, or the financial entity, including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RTS532-A03-P2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3(2)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that use ICT third-party service providers that subcontract ICT services that support critical or important functions or material parts thereof shall periodically carry out the risk assessmen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RTS532-A03-P3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3(3)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Reliance on the results of the risk assessment carried out by their ICT third-party service providers on their subcontractors in complying with the obligations set out in this article shall not limit the final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contractual arrangement concluded between the financial entity and the ICT third-party service provider shall identify which ICT services that support critical or important functions or material parts there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ICT third-party service provider is responsible for the provision of the services provided by the subcontractors;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that the ICT third-party service provider is required to monitor all subcontracted ICT services that support critical or important functions or material parts thereof to ensure that its contractual obligations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monitoring and reporting obligations of the ICT third-party service provider towards the financial entity regarding subcontractors that provide ICT services that support critical or important functions or m</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that the ICT third-party service provider is to assess all risks associated with the location of the current or potential subcontractors that provide ICT service that support critical or important functions or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location of data processed or stored by the subcontractor, where relevant;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ICT third-party service provider is to specify in its contract with its subcontractors the monitoring and reporting obligations of that subcontractor towards the ICT third-party service provider, and 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ICT third-party service provider is to ensure the continuity of the ICT services that support critical or important functions throughout the chain of subcontractors in case of failure by an ICT subcont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contractual arrangement between the ICT third-party service provider and its subcontractors contains the requirements on business contingency plans referred to in Article 30(3), point (c), of Regulatio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contractual arrangement between the ICT third-party service provider and its subcontractors specifies the ICT security standards and any additional security requirements referred to in Article 30(3), p</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4(1)(j)</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subcontractor is to grant to the financial entity and relevant competent and resolution authorities the same rights of access, inspection, and audit as those referred to in Article 30(3), point (e), of</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RTS532-A04-P1-K</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4(1)(k)</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the ICT third-party service provider is to notify the financial entity of any material change to subcontracting arrangements;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RTS532-A04-P1-L</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4(1)(l)</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that the financial entity has the right to terminate the contract with the ICT third-party service provider when the conditions laid down in either Article 6 of this Regulation or the conditions laid down in Ar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4(2)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Changes relative to contractual agreements between the financial entity and ICT third-party service providers that provide an ICT service supporting critical or important functions or material parts thereof, ma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contractual arrangement shall provide that the ICT third-party service provider shall inform the financial entity about any intended material changes to its subcontracting arrangements well in time to enabl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impact on the risks it is or might be exposed to;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whether such material changes might affect the ability of the ICT third-party service provider to meet its contractual obligations vis-a-vis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contractual arrangement shall contain a reasonable notice period by which the financial entity is to approve or object to the changes.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ICT third-party service provider shall only implement the material changes to its subcontracting arrangements after the financial entity has either approved or not objected to the changes by the end of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the financial entity is of the opinion that the material changes referred to in paragraph 1 exceed the financial entity’s risk tolerance, the financial entity shall, before the end of the notice period: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RTS532-A05-P4-A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5(4)(a)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 the ICT third-party service provider thereof;</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RTS532-A05-P4-B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5(4)(b)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object to the changes and request modifications to those changes before they are implemented.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RTS532-A06-Part_6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6(art_6)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entity shall have the right to provide in the contractual arrangement with the ICT third-party service provider that the contractual arrangement is to terminate in each of the following cases: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RTS532-A06-Part_6-A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6(art_6)(a)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entity has objected to material changes to the subcontracting arrangements supporting critical or important functions and requested for modifications to those arrangements, but the ICT third-party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RTS532-A06-Part_6-B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6(art_6)(b)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ICT third-party service provider has implemented material changes to subcontracting arrangements supporting critical or important functions or material parts thereof before the end of the notice period with</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RTS532-A06-Part_6-C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RTS532 Article 6(art_6)(c)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E — Subcontracting assessment and contract controls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ICT third-party service provider subcontracts an ICT service that supports a critical or important function or material part thereof not explicitly permitted to be subcontracted by the contract between the </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sectPr w:rsidR="00FC693F" w:rsidRPr="0006063C" w:rsidSect="00034616">
      <w:headerReference w:type="default" r:id="rId9"/>
      <w:footerReference w:type="default" r:id="rId10"/>
      <w:pgSz w:w="12240" w:h="15840"/>
      <w:pgMar w:top="1037" w:right="1181" w:bottom="979" w:left="1181"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D11  |  ICT PROVIDER COMPLIANCE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Provider Compliance Pack</dc:title>
  <dc:subject>Reusable internal template for an SNI investment firm</dc:subject>
  <dc:creator>DORA SNI Documentation &amp; Implementation Suite v1.0</dc:creator>
  <cp:keywords/>
  <dc:description>generated by python-docx</dc:description>
  <cp:lastModifiedBy/>
  <cp:revision>1</cp:revision>
  <dcterms:created xsi:type="dcterms:W3CDTF">2013-12-23T23:15:00Z</dcterms:created>
  <dcterms:modified xsi:type="dcterms:W3CDTF">2013-12-23T23:15:00Z</dcterms:modified>
  <cp:category/>
</cp:coreProperties>
</file>