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after="720"/>
      </w:pPr>
    </w:p>
    <w:p>
      <w:pPr>
        <w:widowControl/>
        <w:spacing w:after="240"/>
      </w:pPr>
      <w:r>
        <w:rPr>
          <w:rFonts w:ascii="Calibri" w:hAnsi="Calibri"/>
          <w:b/>
          <w:color w:val="0F6B78"/>
          <w:sz w:val="34"/>
        </w:rPr>
        <w:t>D09</w:t>
      </w:r>
    </w:p>
    <w:p>
      <w:pPr>
        <w:widowControl/>
        <w:spacing w:after="240" w:line="235" w:lineRule="auto"/>
      </w:pPr>
      <w:r>
        <w:rPr>
          <w:rFonts w:ascii="Calibri" w:hAnsi="Calibri"/>
          <w:b/>
          <w:color w:val="17365D"/>
          <w:sz w:val="54"/>
        </w:rPr>
        <w:t>ICT Third-Party Risk Management Procedure</w:t>
      </w:r>
    </w:p>
    <w:p>
      <w:pPr>
        <w:widowControl/>
        <w:spacing w:after="560"/>
      </w:pPr>
      <w:r>
        <w:rPr>
          <w:rFonts w:ascii="Calibri" w:hAnsi="Calibri"/>
          <w:b/>
          <w:color w:val="FFFFFF"/>
          <w:sz w:val="20"/>
          <w:shd w:fill="0F6B78"/>
        </w:rPr>
        <w:t>THIRD-PARTY LIFECYCLE PROCEDURE</w:t>
      </w:r>
    </w:p>
    <w:tbl>
      <w:tblPr>
        <w:tblW w:type="auto" w:w="0"/>
        <w:jc w:val="left"/>
        <w:tblLayout w:type="fixed"/>
        <w:tblLook w:firstColumn="1" w:firstRow="1" w:lastColumn="0" w:lastRow="0" w:noHBand="0" w:noVBand="1" w:val="04A0"/>
      </w:tblPr>
      <w:tblGrid>
        <w:gridCol w:w="2448"/>
        <w:gridCol w:w="7430"/>
      </w:tblGrid>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ENTITY</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[ENTITY LEGAL NAME]</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OWNER</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[ROLE / FUNCTION]</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APPROVER</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[BOARD / MANAGEMENT BODY / EXECUTIVE]</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VERSION</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[1.0]</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EFFECTIVE DATE</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[DD MONTH YYYY]</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NEXT REVIEW</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[DD MONTH YYYY]</w:t>
            </w:r>
          </w:p>
        </w:tc>
      </w:tr>
    </w:tbl>
    <w:p>
      <w:pPr>
        <w:widowControl/>
        <w:spacing w:after="280"/>
      </w:pPr>
    </w:p>
    <w:tbl>
      <w:tblPr>
        <w:tblW w:type="auto" w:w="0"/>
        <w:jc w:val="center"/>
        <w:tblLayout w:type="fixed"/>
        <w:tblLook w:firstColumn="1" w:firstRow="1" w:lastColumn="0" w:lastRow="0" w:noHBand="0" w:noVBand="1" w:val="04A0"/>
      </w:tblPr>
      <w:tblGrid>
        <w:gridCol w:w="158"/>
        <w:gridCol w:w="9720"/>
      </w:tblGrid>
      <w:tr>
        <w:tc>
          <w:tcPr>
            <w:tcW w:type="dxa" w:w="158"/>
            <w:shd w:fill="9B1C1C"/>
            <w:tcMar>
              <w:top w:w="0" w:type="dxa"/>
              <w:start w:w="0" w:type="dxa"/>
              <w:bottom w:w="0" w:type="dxa"/>
              <w:end w:w="0" w:type="dxa"/>
            </w:tcMar>
            <w:vAlign w:val="center"/>
          </w:tcPr>
          <w:p>
            <w:pPr>
              <w:widowControl/>
            </w:pPr>
          </w:p>
        </w:tc>
        <w:tc>
          <w:tcPr>
            <w:tcW w:type="dxa" w:w="9720"/>
            <w:shd w:fill="FFF5F5"/>
            <w:tcMar>
              <w:top w:w="100" w:type="dxa"/>
              <w:start w:w="145" w:type="dxa"/>
              <w:bottom w:w="100" w:type="dxa"/>
              <w:end w:w="145" w:type="dxa"/>
            </w:tcMar>
            <w:vAlign w:val="center"/>
          </w:tcPr>
          <w:p>
            <w:pPr>
              <w:widowControl/>
            </w:pPr>
            <w:r>
              <w:rPr>
                <w:rFonts w:ascii="Calibri" w:hAnsi="Calibri"/>
                <w:b/>
                <w:color w:val="9B1C1C"/>
                <w:sz w:val="17"/>
              </w:rPr>
              <w:t>TEMPLATE STATUS</w:t>
            </w:r>
            <w:r>
              <w:rPr>
                <w:rFonts w:ascii="Calibri" w:hAnsi="Calibri"/>
              </w:rPr>
              <w:br/>
              <w:t>Complete and validate every yellow-bracketed field. Delete drafting notes before approval. Technical controls, inventories, provider facts, tests and audit conclusions must not be assumed or invented.</w:t>
            </w:r>
          </w:p>
        </w:tc>
      </w:tr>
    </w:tbl>
    <w:p>
      <w:pPr>
        <w:widowControl/>
        <w:spacing w:after="0"/>
      </w:pPr>
    </w:p>
    <w:p>
      <w:pPr>
        <w:widowControl/>
      </w:pPr>
      <w:r>
        <w:br w:type="page"/>
      </w:r>
    </w:p>
    <w:p>
      <w:pPr>
        <w:pStyle w:val="Heading1"/>
        <w:widowControl/>
      </w:pPr>
      <w:r>
        <w:t>Document control and approval</w:t>
      </w:r>
    </w:p>
    <w:tbl>
      <w:tblPr>
        <w:tblStyle w:val="TableGrid"/>
        <w:tblW w:type="auto" w:w="0"/>
        <w:jc w:val="center"/>
        <w:tblLayout w:type="fixed"/>
        <w:tblLook w:firstColumn="1" w:firstRow="1" w:lastColumn="0" w:lastRow="0" w:noHBand="0" w:noVBand="1" w:val="04A0"/>
      </w:tblPr>
      <w:tblGrid>
        <w:gridCol w:w="2520"/>
        <w:gridCol w:w="7358"/>
      </w:tblGrid>
      <w:tr>
        <w:trPr>
          <w:tblHeader w:val="true"/>
        </w:trPr>
        <w:tc>
          <w:tcPr>
            <w:tcW w:type="dxa" w:w="2520"/>
            <w:shd w:fill="17365D"/>
            <w:tcMar>
              <w:top w:w="80" w:type="dxa"/>
              <w:start w:w="110" w:type="dxa"/>
              <w:bottom w:w="80" w:type="dxa"/>
              <w:end w:w="110" w:type="dxa"/>
            </w:tcMar>
            <w:vAlign w:val="center"/>
          </w:tcPr>
          <w:p>
            <w:pPr>
              <w:widowControl/>
            </w:pPr>
            <w:r>
              <w:rPr>
                <w:rFonts w:ascii="Calibri" w:hAnsi="Calibri"/>
                <w:b/>
                <w:color w:val="FFFFFF"/>
                <w:sz w:val="17"/>
              </w:rPr>
              <w:t>Field</w:t>
            </w:r>
          </w:p>
        </w:tc>
        <w:tc>
          <w:tcPr>
            <w:tcW w:type="dxa" w:w="7358"/>
            <w:shd w:fill="17365D"/>
            <w:tcMar>
              <w:top w:w="80" w:type="dxa"/>
              <w:start w:w="110" w:type="dxa"/>
              <w:bottom w:w="80" w:type="dxa"/>
              <w:end w:w="110" w:type="dxa"/>
            </w:tcMar>
            <w:vAlign w:val="center"/>
          </w:tcPr>
          <w:p>
            <w:pPr>
              <w:widowControl/>
            </w:pPr>
            <w:r>
              <w:rPr>
                <w:rFonts w:ascii="Calibri" w:hAnsi="Calibri"/>
                <w:b/>
                <w:color w:val="FFFFFF"/>
                <w:sz w:val="17"/>
              </w:rPr>
              <w:t>Controlled value</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Document ID</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D09</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Document title</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ICT Third-Party Risk Management Procedure</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Owner</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[Third-Party Risk Owner]</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Approval authority</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Management body / delegated executive</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Version</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[1.0]</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Effective date</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[DD MONTH YYYY]</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Review cycle</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At least annually and on material change</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Classification</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Confidential — Internal</w:t>
            </w:r>
          </w:p>
        </w:tc>
      </w:tr>
    </w:tbl>
    <w:p>
      <w:pPr>
        <w:widowControl/>
        <w:spacing w:after="0"/>
      </w:pPr>
    </w:p>
    <w:p>
      <w:pPr>
        <w:pStyle w:val="Heading2"/>
        <w:widowControl/>
      </w:pPr>
      <w:r>
        <w:t>Approval record</w:t>
      </w:r>
    </w:p>
    <w:tbl>
      <w:tblPr>
        <w:tblStyle w:val="TableGrid"/>
        <w:tblW w:type="auto" w:w="0"/>
        <w:jc w:val="center"/>
        <w:tblLayout w:type="fixed"/>
        <w:tblLook w:firstColumn="1" w:firstRow="1" w:lastColumn="0" w:lastRow="0" w:noHBand="0" w:noVBand="1" w:val="04A0"/>
      </w:tblPr>
      <w:tblGrid>
        <w:gridCol w:w="2880"/>
        <w:gridCol w:w="2376"/>
        <w:gridCol w:w="3024"/>
        <w:gridCol w:w="1598"/>
      </w:tblGrid>
      <w:tr>
        <w:trPr>
          <w:tblHeader w:val="true"/>
        </w:trPr>
        <w:tc>
          <w:tcPr>
            <w:tcW w:type="dxa" w:w="2880"/>
            <w:shd w:fill="17365D"/>
            <w:tcMar>
              <w:top w:w="80" w:type="dxa"/>
              <w:start w:w="110" w:type="dxa"/>
              <w:bottom w:w="80" w:type="dxa"/>
              <w:end w:w="110" w:type="dxa"/>
            </w:tcMar>
            <w:vAlign w:val="center"/>
          </w:tcPr>
          <w:p>
            <w:pPr>
              <w:widowControl/>
            </w:pPr>
            <w:r>
              <w:rPr>
                <w:rFonts w:ascii="Calibri" w:hAnsi="Calibri"/>
                <w:b/>
                <w:color w:val="FFFFFF"/>
                <w:sz w:val="16"/>
              </w:rPr>
              <w:t>Approver</w:t>
            </w:r>
          </w:p>
        </w:tc>
        <w:tc>
          <w:tcPr>
            <w:tcW w:type="dxa" w:w="2376"/>
            <w:shd w:fill="17365D"/>
            <w:tcMar>
              <w:top w:w="80" w:type="dxa"/>
              <w:start w:w="110" w:type="dxa"/>
              <w:bottom w:w="80" w:type="dxa"/>
              <w:end w:w="110" w:type="dxa"/>
            </w:tcMar>
            <w:vAlign w:val="center"/>
          </w:tcPr>
          <w:p>
            <w:pPr>
              <w:widowControl/>
            </w:pPr>
            <w:r>
              <w:rPr>
                <w:rFonts w:ascii="Calibri" w:hAnsi="Calibri"/>
                <w:b/>
                <w:color w:val="FFFFFF"/>
                <w:sz w:val="16"/>
              </w:rPr>
              <w:t>Capacity</w:t>
            </w:r>
          </w:p>
        </w:tc>
        <w:tc>
          <w:tcPr>
            <w:tcW w:type="dxa" w:w="3024"/>
            <w:shd w:fill="17365D"/>
            <w:tcMar>
              <w:top w:w="80" w:type="dxa"/>
              <w:start w:w="110" w:type="dxa"/>
              <w:bottom w:w="80" w:type="dxa"/>
              <w:end w:w="110" w:type="dxa"/>
            </w:tcMar>
            <w:vAlign w:val="center"/>
          </w:tcPr>
          <w:p>
            <w:pPr>
              <w:widowControl/>
            </w:pPr>
            <w:r>
              <w:rPr>
                <w:rFonts w:ascii="Calibri" w:hAnsi="Calibri"/>
                <w:b/>
                <w:color w:val="FFFFFF"/>
                <w:sz w:val="16"/>
              </w:rPr>
              <w:t>Decision</w:t>
            </w:r>
          </w:p>
        </w:tc>
        <w:tc>
          <w:tcPr>
            <w:tcW w:type="dxa" w:w="1598"/>
            <w:shd w:fill="17365D"/>
            <w:tcMar>
              <w:top w:w="80" w:type="dxa"/>
              <w:start w:w="110" w:type="dxa"/>
              <w:bottom w:w="80" w:type="dxa"/>
              <w:end w:w="110" w:type="dxa"/>
            </w:tcMar>
            <w:vAlign w:val="center"/>
          </w:tcPr>
          <w:p>
            <w:pPr>
              <w:widowControl/>
            </w:pPr>
            <w:r>
              <w:rPr>
                <w:rFonts w:ascii="Calibri" w:hAnsi="Calibri"/>
                <w:b/>
                <w:color w:val="FFFFFF"/>
                <w:sz w:val="16"/>
              </w:rPr>
              <w:t>Date</w:t>
            </w:r>
          </w:p>
        </w:tc>
      </w:tr>
      <w:tr>
        <w:trPr>
          <w:cantSplit/>
        </w:trPr>
        <w:tc>
          <w:tcPr>
            <w:tcW w:type="dxa" w:w="2880"/>
            <w:tcMar>
              <w:top w:w="80" w:type="dxa"/>
              <w:start w:w="110" w:type="dxa"/>
              <w:bottom w:w="80" w:type="dxa"/>
              <w:end w:w="110" w:type="dxa"/>
            </w:tcMar>
            <w:vAlign w:val="center"/>
          </w:tcPr>
          <w:p>
            <w:pPr>
              <w:widowControl/>
              <w:spacing w:after="0"/>
            </w:pPr>
            <w:r>
              <w:rPr>
                <w:rFonts w:ascii="Calibri" w:hAnsi="Calibri"/>
                <w:b w:val="0"/>
                <w:color w:val="1F2937"/>
                <w:sz w:val="16"/>
              </w:rPr>
              <w:t>[NAME]</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6"/>
              </w:rPr>
              <w:t>[ROLE]</w:t>
            </w:r>
          </w:p>
        </w:tc>
        <w:tc>
          <w:tcPr>
            <w:tcW w:type="dxa" w:w="3024"/>
            <w:tcMar>
              <w:top w:w="80" w:type="dxa"/>
              <w:start w:w="110" w:type="dxa"/>
              <w:bottom w:w="80" w:type="dxa"/>
              <w:end w:w="110" w:type="dxa"/>
            </w:tcMar>
            <w:vAlign w:val="center"/>
          </w:tcPr>
          <w:p>
            <w:pPr>
              <w:widowControl/>
              <w:spacing w:after="0"/>
            </w:pPr>
            <w:r>
              <w:rPr>
                <w:rFonts w:ascii="Calibri" w:hAnsi="Calibri"/>
                <w:b w:val="0"/>
                <w:color w:val="1F2937"/>
                <w:sz w:val="16"/>
              </w:rPr>
              <w:t>Approved / conditional</w:t>
            </w:r>
          </w:p>
        </w:tc>
        <w:tc>
          <w:tcPr>
            <w:tcW w:type="dxa" w:w="1598"/>
            <w:tcMar>
              <w:top w:w="80" w:type="dxa"/>
              <w:start w:w="110" w:type="dxa"/>
              <w:bottom w:w="80" w:type="dxa"/>
              <w:end w:w="110" w:type="dxa"/>
            </w:tcMar>
            <w:vAlign w:val="center"/>
          </w:tcPr>
          <w:p>
            <w:pPr>
              <w:widowControl/>
              <w:spacing w:after="0"/>
            </w:pPr>
            <w:r>
              <w:rPr>
                <w:rFonts w:ascii="Calibri" w:hAnsi="Calibri"/>
                <w:b w:val="0"/>
                <w:color w:val="1F2937"/>
                <w:sz w:val="16"/>
              </w:rPr>
              <w:t>[DATE]</w:t>
            </w:r>
          </w:p>
        </w:tc>
      </w:tr>
      <w:tr>
        <w:trPr>
          <w:cantSplit/>
        </w:trPr>
        <w:tc>
          <w:tcPr>
            <w:tcW w:type="dxa" w:w="2880"/>
            <w:tcMar>
              <w:top w:w="80" w:type="dxa"/>
              <w:start w:w="110" w:type="dxa"/>
              <w:bottom w:w="80" w:type="dxa"/>
              <w:end w:w="110" w:type="dxa"/>
            </w:tcMar>
            <w:vAlign w:val="center"/>
            <w:shd w:fill="F8FAFC"/>
          </w:tcPr>
          <w:p>
            <w:pPr>
              <w:widowControl/>
              <w:spacing w:after="0"/>
            </w:pPr>
            <w:r>
              <w:rPr>
                <w:rFonts w:ascii="Calibri" w:hAnsi="Calibri"/>
                <w:b w:val="0"/>
                <w:color w:val="1F2937"/>
                <w:sz w:val="16"/>
              </w:rPr>
              <w:t>[NAME]</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6"/>
              </w:rPr>
              <w:t>[ROLE]</w:t>
            </w:r>
          </w:p>
        </w:tc>
        <w:tc>
          <w:tcPr>
            <w:tcW w:type="dxa" w:w="3024"/>
            <w:tcMar>
              <w:top w:w="80" w:type="dxa"/>
              <w:start w:w="110" w:type="dxa"/>
              <w:bottom w:w="80" w:type="dxa"/>
              <w:end w:w="110" w:type="dxa"/>
            </w:tcMar>
            <w:vAlign w:val="center"/>
            <w:shd w:fill="F8FAFC"/>
          </w:tcPr>
          <w:p>
            <w:pPr>
              <w:widowControl/>
              <w:spacing w:after="0"/>
            </w:pPr>
            <w:r>
              <w:rPr>
                <w:rFonts w:ascii="Calibri" w:hAnsi="Calibri"/>
                <w:b w:val="0"/>
                <w:color w:val="1F2937"/>
                <w:sz w:val="16"/>
              </w:rPr>
              <w:t>Approved / conditional</w:t>
            </w:r>
          </w:p>
        </w:tc>
        <w:tc>
          <w:tcPr>
            <w:tcW w:type="dxa" w:w="1598"/>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r>
    </w:tbl>
    <w:p>
      <w:pPr>
        <w:widowControl/>
        <w:spacing w:after="0"/>
      </w:pPr>
    </w:p>
    <w:p>
      <w:pPr>
        <w:pStyle w:val="Heading2"/>
        <w:widowControl/>
      </w:pPr>
      <w:r>
        <w:t>Version history</w:t>
      </w:r>
    </w:p>
    <w:tbl>
      <w:tblPr>
        <w:tblStyle w:val="TableGrid"/>
        <w:tblW w:type="auto" w:w="0"/>
        <w:jc w:val="center"/>
        <w:tblLayout w:type="fixed"/>
        <w:tblLook w:firstColumn="1" w:firstRow="1" w:lastColumn="0" w:lastRow="0" w:noHBand="0" w:noVBand="1" w:val="04A0"/>
      </w:tblPr>
      <w:tblGrid>
        <w:gridCol w:w="1080"/>
        <w:gridCol w:w="1440"/>
        <w:gridCol w:w="5256"/>
        <w:gridCol w:w="2102"/>
      </w:tblGrid>
      <w:tr>
        <w:trPr>
          <w:tblHeader w:val="true"/>
        </w:trPr>
        <w:tc>
          <w:tcPr>
            <w:tcW w:type="dxa" w:w="1080"/>
            <w:shd w:fill="17365D"/>
            <w:tcMar>
              <w:top w:w="80" w:type="dxa"/>
              <w:start w:w="110" w:type="dxa"/>
              <w:bottom w:w="80" w:type="dxa"/>
              <w:end w:w="110" w:type="dxa"/>
            </w:tcMar>
            <w:vAlign w:val="center"/>
          </w:tcPr>
          <w:p>
            <w:pPr>
              <w:widowControl/>
            </w:pPr>
            <w:r>
              <w:rPr>
                <w:rFonts w:ascii="Calibri" w:hAnsi="Calibri"/>
                <w:b/>
                <w:color w:val="FFFFFF"/>
                <w:sz w:val="16"/>
              </w:rPr>
              <w:t>Version</w:t>
            </w:r>
          </w:p>
        </w:tc>
        <w:tc>
          <w:tcPr>
            <w:tcW w:type="dxa" w:w="1440"/>
            <w:shd w:fill="17365D"/>
            <w:tcMar>
              <w:top w:w="80" w:type="dxa"/>
              <w:start w:w="110" w:type="dxa"/>
              <w:bottom w:w="80" w:type="dxa"/>
              <w:end w:w="110" w:type="dxa"/>
            </w:tcMar>
            <w:vAlign w:val="center"/>
          </w:tcPr>
          <w:p>
            <w:pPr>
              <w:widowControl/>
            </w:pPr>
            <w:r>
              <w:rPr>
                <w:rFonts w:ascii="Calibri" w:hAnsi="Calibri"/>
                <w:b/>
                <w:color w:val="FFFFFF"/>
                <w:sz w:val="16"/>
              </w:rPr>
              <w:t>Date</w:t>
            </w:r>
          </w:p>
        </w:tc>
        <w:tc>
          <w:tcPr>
            <w:tcW w:type="dxa" w:w="5256"/>
            <w:shd w:fill="17365D"/>
            <w:tcMar>
              <w:top w:w="80" w:type="dxa"/>
              <w:start w:w="110" w:type="dxa"/>
              <w:bottom w:w="80" w:type="dxa"/>
              <w:end w:w="110" w:type="dxa"/>
            </w:tcMar>
            <w:vAlign w:val="center"/>
          </w:tcPr>
          <w:p>
            <w:pPr>
              <w:widowControl/>
            </w:pPr>
            <w:r>
              <w:rPr>
                <w:rFonts w:ascii="Calibri" w:hAnsi="Calibri"/>
                <w:b/>
                <w:color w:val="FFFFFF"/>
                <w:sz w:val="16"/>
              </w:rPr>
              <w:t>Change</w:t>
            </w:r>
          </w:p>
        </w:tc>
        <w:tc>
          <w:tcPr>
            <w:tcW w:type="dxa" w:w="2102"/>
            <w:shd w:fill="17365D"/>
            <w:tcMar>
              <w:top w:w="80" w:type="dxa"/>
              <w:start w:w="110" w:type="dxa"/>
              <w:bottom w:w="80" w:type="dxa"/>
              <w:end w:w="110" w:type="dxa"/>
            </w:tcMar>
            <w:vAlign w:val="center"/>
          </w:tcPr>
          <w:p>
            <w:pPr>
              <w:widowControl/>
            </w:pPr>
            <w:r>
              <w:rPr>
                <w:rFonts w:ascii="Calibri" w:hAnsi="Calibri"/>
                <w:b/>
                <w:color w:val="FFFFFF"/>
                <w:sz w:val="16"/>
              </w:rPr>
              <w:t>Author</w:t>
            </w:r>
          </w:p>
        </w:tc>
      </w:tr>
      <w:tr>
        <w:trPr>
          <w:cantSplit/>
        </w:trPr>
        <w:tc>
          <w:tcPr>
            <w:tcW w:type="dxa" w:w="1080"/>
            <w:tcMar>
              <w:top w:w="80" w:type="dxa"/>
              <w:start w:w="110" w:type="dxa"/>
              <w:bottom w:w="80" w:type="dxa"/>
              <w:end w:w="110" w:type="dxa"/>
            </w:tcMar>
            <w:vAlign w:val="center"/>
          </w:tcPr>
          <w:p>
            <w:pPr>
              <w:widowControl/>
              <w:spacing w:after="0"/>
            </w:pPr>
            <w:r>
              <w:rPr>
                <w:rFonts w:ascii="Calibri" w:hAnsi="Calibri"/>
                <w:b w:val="0"/>
                <w:color w:val="1F2937"/>
                <w:sz w:val="16"/>
              </w:rPr>
              <w:t>0.1</w:t>
            </w:r>
          </w:p>
        </w:tc>
        <w:tc>
          <w:tcPr>
            <w:tcW w:type="dxa" w:w="1440"/>
            <w:tcMar>
              <w:top w:w="80" w:type="dxa"/>
              <w:start w:w="110" w:type="dxa"/>
              <w:bottom w:w="80" w:type="dxa"/>
              <w:end w:w="110" w:type="dxa"/>
            </w:tcMar>
            <w:vAlign w:val="center"/>
          </w:tcPr>
          <w:p>
            <w:pPr>
              <w:widowControl/>
              <w:spacing w:after="0"/>
            </w:pPr>
            <w:r>
              <w:rPr>
                <w:rFonts w:ascii="Calibri" w:hAnsi="Calibri"/>
                <w:b w:val="0"/>
                <w:color w:val="1F2937"/>
                <w:sz w:val="16"/>
              </w:rPr>
              <w:t>[DATE]</w:t>
            </w:r>
          </w:p>
        </w:tc>
        <w:tc>
          <w:tcPr>
            <w:tcW w:type="dxa" w:w="5256"/>
            <w:tcMar>
              <w:top w:w="80" w:type="dxa"/>
              <w:start w:w="110" w:type="dxa"/>
              <w:bottom w:w="80" w:type="dxa"/>
              <w:end w:w="110" w:type="dxa"/>
            </w:tcMar>
            <w:vAlign w:val="center"/>
          </w:tcPr>
          <w:p>
            <w:pPr>
              <w:widowControl/>
              <w:spacing w:after="0"/>
            </w:pPr>
            <w:r>
              <w:rPr>
                <w:rFonts w:ascii="Calibri" w:hAnsi="Calibri"/>
                <w:b w:val="0"/>
                <w:color w:val="1F2937"/>
                <w:sz w:val="16"/>
              </w:rPr>
              <w:t>Initial template tailoring</w:t>
            </w:r>
          </w:p>
        </w:tc>
        <w:tc>
          <w:tcPr>
            <w:tcW w:type="dxa" w:w="2102"/>
            <w:tcMar>
              <w:top w:w="80" w:type="dxa"/>
              <w:start w:w="110" w:type="dxa"/>
              <w:bottom w:w="80" w:type="dxa"/>
              <w:end w:w="110" w:type="dxa"/>
            </w:tcMar>
            <w:vAlign w:val="center"/>
          </w:tcPr>
          <w:p>
            <w:pPr>
              <w:widowControl/>
              <w:spacing w:after="0"/>
            </w:pPr>
            <w:r>
              <w:rPr>
                <w:rFonts w:ascii="Calibri" w:hAnsi="Calibri"/>
                <w:b w:val="0"/>
                <w:color w:val="1F2937"/>
                <w:sz w:val="16"/>
              </w:rPr>
              <w:t>[NAME]</w:t>
            </w:r>
          </w:p>
        </w:tc>
      </w:tr>
      <w:tr>
        <w:trPr>
          <w:cantSplit/>
        </w:trPr>
        <w:tc>
          <w:tcPr>
            <w:tcW w:type="dxa" w:w="1080"/>
            <w:tcMar>
              <w:top w:w="80" w:type="dxa"/>
              <w:start w:w="110" w:type="dxa"/>
              <w:bottom w:w="80" w:type="dxa"/>
              <w:end w:w="110" w:type="dxa"/>
            </w:tcMar>
            <w:vAlign w:val="center"/>
            <w:shd w:fill="F8FAFC"/>
          </w:tcPr>
          <w:p>
            <w:pPr>
              <w:widowControl/>
              <w:spacing w:after="0"/>
            </w:pPr>
            <w:r>
              <w:rPr>
                <w:rFonts w:ascii="Calibri" w:hAnsi="Calibri"/>
                <w:b w:val="0"/>
                <w:color w:val="1F2937"/>
                <w:sz w:val="16"/>
              </w:rPr>
              <w:t>1.0</w:t>
            </w:r>
          </w:p>
        </w:tc>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c>
          <w:tcPr>
            <w:tcW w:type="dxa" w:w="5256"/>
            <w:tcMar>
              <w:top w:w="80" w:type="dxa"/>
              <w:start w:w="110" w:type="dxa"/>
              <w:bottom w:w="80" w:type="dxa"/>
              <w:end w:w="110" w:type="dxa"/>
            </w:tcMar>
            <w:vAlign w:val="center"/>
            <w:shd w:fill="F8FAFC"/>
          </w:tcPr>
          <w:p>
            <w:pPr>
              <w:widowControl/>
              <w:spacing w:after="0"/>
            </w:pPr>
            <w:r>
              <w:rPr>
                <w:rFonts w:ascii="Calibri" w:hAnsi="Calibri"/>
                <w:b w:val="0"/>
                <w:color w:val="1F2937"/>
                <w:sz w:val="16"/>
              </w:rPr>
              <w:t>First approved version</w:t>
            </w:r>
          </w:p>
        </w:tc>
        <w:tc>
          <w:tcPr>
            <w:tcW w:type="dxa" w:w="2102"/>
            <w:tcMar>
              <w:top w:w="80" w:type="dxa"/>
              <w:start w:w="110" w:type="dxa"/>
              <w:bottom w:w="80" w:type="dxa"/>
              <w:end w:w="110" w:type="dxa"/>
            </w:tcMar>
            <w:vAlign w:val="center"/>
            <w:shd w:fill="F8FAFC"/>
          </w:tcPr>
          <w:p>
            <w:pPr>
              <w:widowControl/>
              <w:spacing w:after="0"/>
            </w:pPr>
            <w:r>
              <w:rPr>
                <w:rFonts w:ascii="Calibri" w:hAnsi="Calibri"/>
                <w:b w:val="0"/>
                <w:color w:val="1F2937"/>
                <w:sz w:val="16"/>
              </w:rPr>
              <w:t>[NAME]</w:t>
            </w:r>
          </w:p>
        </w:tc>
      </w:tr>
    </w:tbl>
    <w:p>
      <w:pPr>
        <w:widowControl/>
        <w:spacing w:after="0"/>
      </w:pPr>
    </w:p>
    <w:p>
      <w:pPr>
        <w:pStyle w:val="Heading1"/>
        <w:widowControl/>
      </w:pPr>
      <w:r>
        <w:t>Definitions and interpretation</w:t>
      </w:r>
    </w:p>
    <w:tbl>
      <w:tblPr>
        <w:tblStyle w:val="TableGrid"/>
        <w:tblW w:type="auto" w:w="0"/>
        <w:jc w:val="center"/>
        <w:tblLayout w:type="fixed"/>
        <w:tblLook w:firstColumn="1" w:firstRow="1" w:lastColumn="0" w:lastRow="0" w:noHBand="0" w:noVBand="1" w:val="04A0"/>
      </w:tblPr>
      <w:tblGrid>
        <w:gridCol w:w="2736"/>
        <w:gridCol w:w="7142"/>
      </w:tblGrid>
      <w:tr>
        <w:trPr>
          <w:tblHeader w:val="true"/>
        </w:trPr>
        <w:tc>
          <w:tcPr>
            <w:tcW w:type="dxa" w:w="2736"/>
            <w:shd w:fill="17365D"/>
            <w:tcMar>
              <w:top w:w="80" w:type="dxa"/>
              <w:start w:w="110" w:type="dxa"/>
              <w:bottom w:w="80" w:type="dxa"/>
              <w:end w:w="110" w:type="dxa"/>
            </w:tcMar>
            <w:vAlign w:val="center"/>
          </w:tcPr>
          <w:p>
            <w:pPr>
              <w:widowControl/>
            </w:pPr>
            <w:r>
              <w:rPr>
                <w:rFonts w:ascii="Calibri" w:hAnsi="Calibri"/>
                <w:b/>
                <w:color w:val="FFFFFF"/>
                <w:sz w:val="16"/>
              </w:rPr>
              <w:t>Term</w:t>
            </w:r>
          </w:p>
        </w:tc>
        <w:tc>
          <w:tcPr>
            <w:tcW w:type="dxa" w:w="7142"/>
            <w:shd w:fill="17365D"/>
            <w:tcMar>
              <w:top w:w="80" w:type="dxa"/>
              <w:start w:w="110" w:type="dxa"/>
              <w:bottom w:w="80" w:type="dxa"/>
              <w:end w:w="110" w:type="dxa"/>
            </w:tcMar>
            <w:vAlign w:val="center"/>
          </w:tcPr>
          <w:p>
            <w:pPr>
              <w:widowControl/>
            </w:pPr>
            <w:r>
              <w:rPr>
                <w:rFonts w:ascii="Calibri" w:hAnsi="Calibri"/>
                <w:b/>
                <w:color w:val="FFFFFF"/>
                <w:sz w:val="16"/>
              </w:rPr>
              <w:t>Meaning</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Critical or important function</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A function whose disruption would materially impair financial performance, soundness, continuity of services or compliance with authorisation conditions or financial-services law.</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DORA</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Regulation (EU) 2022/2554 as incorporated into the EEA Agreement and given force in Iceland by Act No. 78/2025.</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ICT asset</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A software or hardware asset in network and information systems used by the firm.</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ICT risk</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A reasonably identifiable circumstance relating to network and information systems that may compromise security, operations or services.</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Management body</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The board of directors or other body performing management-body responsibilities.</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Direct ICT third-party provider</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The provider contracting directly with the firm to supply ICT services.</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Subcontractor</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A provider used within the ICT service supply chain.</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Substitutability</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Practical ability to replace, internalise or discontinue an ICT service within required time and risk tolerance.</w:t>
            </w:r>
          </w:p>
        </w:tc>
      </w:tr>
    </w:tbl>
    <w:p>
      <w:pPr>
        <w:widowControl/>
        <w:spacing w:after="0"/>
      </w:pPr>
    </w:p>
    <w:p>
      <w:pPr>
        <w:pStyle w:val="Heading1"/>
        <w:widowControl/>
      </w:pPr>
      <w:r>
        <w:t>1. Purpose and legal position for an SNI firm</w:t>
      </w:r>
    </w:p>
    <w:p>
      <w:pPr>
        <w:widowControl/>
      </w:pPr>
      <w:r>
        <w:t>This Procedure implements the directly applicable obligations in DORA Articles 28–30 for an SNI investment firm. Article 28(2) and the formal policy content in RTS 2024/1773 do not apply to Article 16(1) entities. The firm nevertheless uses a proportionate documented lifecycle procedure because the due-diligence, register, risk, contract, monitoring, termination, concentration and exit duties remain applicable.</w:t>
      </w:r>
    </w:p>
    <w:p>
      <w:pPr>
        <w:pStyle w:val="Heading1"/>
        <w:widowControl/>
      </w:pPr>
      <w:r>
        <w:t>2. Governance and inventory</w:t>
      </w:r>
    </w:p>
    <w:p>
      <w:pPr>
        <w:widowControl/>
      </w:pPr>
      <w:r>
        <w:t>The firm remains fully responsible for DORA and financial-services obligations notwithstanding any ICT contract.</w:t>
      </w:r>
    </w:p>
    <w:p>
      <w:pPr>
        <w:widowControl/>
      </w:pPr>
      <w:r>
        <w:t>All ICT contractual arrangements shall be identified in D04 and recorded in the D10 register, not only those supporting critical or important functions.</w:t>
      </w:r>
    </w:p>
    <w:p>
      <w:pPr>
        <w:widowControl/>
      </w:pPr>
      <w:r>
        <w:t>Each service has a business owner, provider owner, criticality decision, data/system scope and review frequency.</w:t>
      </w:r>
    </w:p>
    <w:p>
      <w:pPr>
        <w:widowControl/>
      </w:pPr>
      <w:r>
        <w:t>Material decisions and risks outside tolerance are escalated under D01.</w:t>
      </w:r>
    </w:p>
    <w:p>
      <w:pPr>
        <w:pStyle w:val="Heading1"/>
        <w:widowControl/>
      </w:pPr>
      <w:r>
        <w:t>3. Lifecycle and decision gates</w:t>
      </w:r>
    </w:p>
    <w:tbl>
      <w:tblPr>
        <w:tblStyle w:val="TableGrid"/>
        <w:tblW w:type="auto" w:w="0"/>
        <w:jc w:val="center"/>
        <w:tblLayout w:type="fixed"/>
        <w:tblLook w:firstColumn="1" w:firstRow="1" w:lastColumn="0" w:lastRow="0" w:noHBand="0" w:noVBand="1" w:val="04A0"/>
      </w:tblPr>
      <w:tblGrid>
        <w:gridCol w:w="1584"/>
        <w:gridCol w:w="6120"/>
        <w:gridCol w:w="2174"/>
      </w:tblGrid>
      <w:tr>
        <w:trPr>
          <w:tblHeader w:val="true"/>
        </w:trPr>
        <w:tc>
          <w:tcPr>
            <w:tcW w:type="dxa" w:w="1584"/>
            <w:shd w:fill="17365D"/>
            <w:tcMar>
              <w:top w:w="80" w:type="dxa"/>
              <w:start w:w="110" w:type="dxa"/>
              <w:bottom w:w="80" w:type="dxa"/>
              <w:end w:w="110" w:type="dxa"/>
            </w:tcMar>
            <w:vAlign w:val="center"/>
          </w:tcPr>
          <w:p>
            <w:pPr>
              <w:widowControl/>
            </w:pPr>
            <w:r>
              <w:rPr>
                <w:rFonts w:ascii="Calibri" w:hAnsi="Calibri"/>
                <w:b/>
                <w:color w:val="FFFFFF"/>
                <w:sz w:val="15"/>
              </w:rPr>
              <w:t>Gate</w:t>
            </w:r>
          </w:p>
        </w:tc>
        <w:tc>
          <w:tcPr>
            <w:tcW w:type="dxa" w:w="6120"/>
            <w:shd w:fill="17365D"/>
            <w:tcMar>
              <w:top w:w="80" w:type="dxa"/>
              <w:start w:w="110" w:type="dxa"/>
              <w:bottom w:w="80" w:type="dxa"/>
              <w:end w:w="110" w:type="dxa"/>
            </w:tcMar>
            <w:vAlign w:val="center"/>
          </w:tcPr>
          <w:p>
            <w:pPr>
              <w:widowControl/>
            </w:pPr>
            <w:r>
              <w:rPr>
                <w:rFonts w:ascii="Calibri" w:hAnsi="Calibri"/>
                <w:b/>
                <w:color w:val="FFFFFF"/>
                <w:sz w:val="15"/>
              </w:rPr>
              <w:t>Required conclusion</w:t>
            </w:r>
          </w:p>
        </w:tc>
        <w:tc>
          <w:tcPr>
            <w:tcW w:type="dxa" w:w="2174"/>
            <w:shd w:fill="17365D"/>
            <w:tcMar>
              <w:top w:w="80" w:type="dxa"/>
              <w:start w:w="110" w:type="dxa"/>
              <w:bottom w:w="80" w:type="dxa"/>
              <w:end w:w="110" w:type="dxa"/>
            </w:tcMar>
            <w:vAlign w:val="center"/>
          </w:tcPr>
          <w:p>
            <w:pPr>
              <w:widowControl/>
            </w:pPr>
            <w:r>
              <w:rPr>
                <w:rFonts w:ascii="Calibri" w:hAnsi="Calibri"/>
                <w:b/>
                <w:color w:val="FFFFFF"/>
                <w:sz w:val="15"/>
              </w:rPr>
              <w:t>Primary record</w:t>
            </w:r>
          </w:p>
        </w:tc>
      </w:tr>
      <w:tr>
        <w:trPr>
          <w:cantSplit/>
        </w:trPr>
        <w:tc>
          <w:tcPr>
            <w:tcW w:type="dxa" w:w="1584"/>
            <w:tcMar>
              <w:top w:w="80" w:type="dxa"/>
              <w:start w:w="110" w:type="dxa"/>
              <w:bottom w:w="80" w:type="dxa"/>
              <w:end w:w="110" w:type="dxa"/>
            </w:tcMar>
            <w:vAlign w:val="center"/>
          </w:tcPr>
          <w:p>
            <w:pPr>
              <w:widowControl/>
              <w:spacing w:after="0"/>
            </w:pPr>
            <w:r>
              <w:rPr>
                <w:rFonts w:ascii="Calibri" w:hAnsi="Calibri"/>
                <w:b/>
                <w:color w:val="1F4D78"/>
                <w:sz w:val="15"/>
              </w:rPr>
              <w:t>Need and scope</w:t>
            </w:r>
          </w:p>
        </w:tc>
        <w:tc>
          <w:tcPr>
            <w:tcW w:type="dxa" w:w="6120"/>
            <w:tcMar>
              <w:top w:w="80" w:type="dxa"/>
              <w:start w:w="110" w:type="dxa"/>
              <w:bottom w:w="80" w:type="dxa"/>
              <w:end w:w="110" w:type="dxa"/>
            </w:tcMar>
            <w:vAlign w:val="center"/>
          </w:tcPr>
          <w:p>
            <w:pPr>
              <w:widowControl/>
              <w:spacing w:after="0"/>
            </w:pPr>
            <w:r>
              <w:rPr>
                <w:rFonts w:ascii="Calibri" w:hAnsi="Calibri"/>
                <w:b w:val="0"/>
                <w:color w:val="1F2937"/>
                <w:sz w:val="15"/>
              </w:rPr>
              <w:t>Business need, service, data, functions, architecture and alternatives defined.</w:t>
            </w:r>
          </w:p>
        </w:tc>
        <w:tc>
          <w:tcPr>
            <w:tcW w:type="dxa" w:w="2174"/>
            <w:tcMar>
              <w:top w:w="80" w:type="dxa"/>
              <w:start w:w="110" w:type="dxa"/>
              <w:bottom w:w="80" w:type="dxa"/>
              <w:end w:w="110" w:type="dxa"/>
            </w:tcMar>
            <w:vAlign w:val="center"/>
          </w:tcPr>
          <w:p>
            <w:pPr>
              <w:widowControl/>
              <w:spacing w:after="0"/>
            </w:pPr>
            <w:r>
              <w:rPr>
                <w:rFonts w:ascii="Calibri" w:hAnsi="Calibri"/>
                <w:b w:val="0"/>
                <w:color w:val="1F2937"/>
                <w:sz w:val="15"/>
              </w:rPr>
              <w:t>D11 provider pack</w:t>
            </w:r>
          </w:p>
        </w:tc>
      </w:tr>
      <w:tr>
        <w:trPr>
          <w:cantSplit/>
        </w:trPr>
        <w:tc>
          <w:tcPr>
            <w:tcW w:type="dxa" w:w="1584"/>
            <w:tcMar>
              <w:top w:w="80" w:type="dxa"/>
              <w:start w:w="110" w:type="dxa"/>
              <w:bottom w:w="80" w:type="dxa"/>
              <w:end w:w="110" w:type="dxa"/>
            </w:tcMar>
            <w:vAlign w:val="center"/>
            <w:shd w:fill="F8FAFC"/>
          </w:tcPr>
          <w:p>
            <w:pPr>
              <w:widowControl/>
              <w:spacing w:after="0"/>
            </w:pPr>
            <w:r>
              <w:rPr>
                <w:rFonts w:ascii="Calibri" w:hAnsi="Calibri"/>
                <w:b/>
                <w:color w:val="1F4D78"/>
                <w:sz w:val="15"/>
              </w:rPr>
              <w:t>Criticality</w:t>
            </w:r>
          </w:p>
        </w:tc>
        <w:tc>
          <w:tcPr>
            <w:tcW w:type="dxa" w:w="6120"/>
            <w:tcMar>
              <w:top w:w="80" w:type="dxa"/>
              <w:start w:w="110" w:type="dxa"/>
              <w:bottom w:w="80" w:type="dxa"/>
              <w:end w:w="110" w:type="dxa"/>
            </w:tcMar>
            <w:vAlign w:val="center"/>
            <w:shd w:fill="F8FAFC"/>
          </w:tcPr>
          <w:p>
            <w:pPr>
              <w:widowControl/>
              <w:spacing w:after="0"/>
            </w:pPr>
            <w:r>
              <w:rPr>
                <w:rFonts w:ascii="Calibri" w:hAnsi="Calibri"/>
                <w:b w:val="0"/>
                <w:color w:val="1F2937"/>
                <w:sz w:val="15"/>
              </w:rPr>
              <w:t>Whether the service supports a critical or important function; rationale and review trigger.</w:t>
            </w:r>
          </w:p>
        </w:tc>
        <w:tc>
          <w:tcPr>
            <w:tcW w:type="dxa" w:w="2174"/>
            <w:tcMar>
              <w:top w:w="80" w:type="dxa"/>
              <w:start w:w="110" w:type="dxa"/>
              <w:bottom w:w="80" w:type="dxa"/>
              <w:end w:w="110" w:type="dxa"/>
            </w:tcMar>
            <w:vAlign w:val="center"/>
            <w:shd w:fill="F8FAFC"/>
          </w:tcPr>
          <w:p>
            <w:pPr>
              <w:widowControl/>
              <w:spacing w:after="0"/>
            </w:pPr>
            <w:r>
              <w:rPr>
                <w:rFonts w:ascii="Calibri" w:hAnsi="Calibri"/>
                <w:b w:val="0"/>
                <w:color w:val="1F2937"/>
                <w:sz w:val="15"/>
              </w:rPr>
              <w:t>D04 / D11</w:t>
            </w:r>
          </w:p>
        </w:tc>
      </w:tr>
      <w:tr>
        <w:trPr>
          <w:cantSplit/>
        </w:trPr>
        <w:tc>
          <w:tcPr>
            <w:tcW w:type="dxa" w:w="1584"/>
            <w:tcMar>
              <w:top w:w="80" w:type="dxa"/>
              <w:start w:w="110" w:type="dxa"/>
              <w:bottom w:w="80" w:type="dxa"/>
              <w:end w:w="110" w:type="dxa"/>
            </w:tcMar>
            <w:vAlign w:val="center"/>
          </w:tcPr>
          <w:p>
            <w:pPr>
              <w:widowControl/>
              <w:spacing w:after="0"/>
            </w:pPr>
            <w:r>
              <w:rPr>
                <w:rFonts w:ascii="Calibri" w:hAnsi="Calibri"/>
                <w:b/>
                <w:color w:val="1F4D78"/>
                <w:sz w:val="15"/>
              </w:rPr>
              <w:t>Risk and concentration</w:t>
            </w:r>
          </w:p>
        </w:tc>
        <w:tc>
          <w:tcPr>
            <w:tcW w:type="dxa" w:w="6120"/>
            <w:tcMar>
              <w:top w:w="80" w:type="dxa"/>
              <w:start w:w="110" w:type="dxa"/>
              <w:bottom w:w="80" w:type="dxa"/>
              <w:end w:w="110" w:type="dxa"/>
            </w:tcMar>
            <w:vAlign w:val="center"/>
          </w:tcPr>
          <w:p>
            <w:pPr>
              <w:widowControl/>
              <w:spacing w:after="0"/>
            </w:pPr>
            <w:r>
              <w:rPr>
                <w:rFonts w:ascii="Calibri" w:hAnsi="Calibri"/>
                <w:b w:val="0"/>
                <w:color w:val="1F2937"/>
                <w:sz w:val="15"/>
              </w:rPr>
              <w:t>Operational, ICT, legal, data, location, reputation, dependency and concentration risk assessed.</w:t>
            </w:r>
          </w:p>
        </w:tc>
        <w:tc>
          <w:tcPr>
            <w:tcW w:type="dxa" w:w="2174"/>
            <w:tcMar>
              <w:top w:w="80" w:type="dxa"/>
              <w:start w:w="110" w:type="dxa"/>
              <w:bottom w:w="80" w:type="dxa"/>
              <w:end w:w="110" w:type="dxa"/>
            </w:tcMar>
            <w:vAlign w:val="center"/>
          </w:tcPr>
          <w:p>
            <w:pPr>
              <w:widowControl/>
              <w:spacing w:after="0"/>
            </w:pPr>
            <w:r>
              <w:rPr>
                <w:rFonts w:ascii="Calibri" w:hAnsi="Calibri"/>
                <w:b w:val="0"/>
                <w:color w:val="1F2937"/>
                <w:sz w:val="15"/>
              </w:rPr>
              <w:t>D03 / D11</w:t>
            </w:r>
          </w:p>
        </w:tc>
      </w:tr>
      <w:tr>
        <w:trPr>
          <w:cantSplit/>
        </w:trPr>
        <w:tc>
          <w:tcPr>
            <w:tcW w:type="dxa" w:w="1584"/>
            <w:tcMar>
              <w:top w:w="80" w:type="dxa"/>
              <w:start w:w="110" w:type="dxa"/>
              <w:bottom w:w="80" w:type="dxa"/>
              <w:end w:w="110" w:type="dxa"/>
            </w:tcMar>
            <w:vAlign w:val="center"/>
            <w:shd w:fill="F8FAFC"/>
          </w:tcPr>
          <w:p>
            <w:pPr>
              <w:widowControl/>
              <w:spacing w:after="0"/>
            </w:pPr>
            <w:r>
              <w:rPr>
                <w:rFonts w:ascii="Calibri" w:hAnsi="Calibri"/>
                <w:b/>
                <w:color w:val="1F4D78"/>
                <w:sz w:val="15"/>
              </w:rPr>
              <w:t>Due diligence</w:t>
            </w:r>
          </w:p>
        </w:tc>
        <w:tc>
          <w:tcPr>
            <w:tcW w:type="dxa" w:w="6120"/>
            <w:tcMar>
              <w:top w:w="80" w:type="dxa"/>
              <w:start w:w="110" w:type="dxa"/>
              <w:bottom w:w="80" w:type="dxa"/>
              <w:end w:w="110" w:type="dxa"/>
            </w:tcMar>
            <w:vAlign w:val="center"/>
            <w:shd w:fill="F8FAFC"/>
          </w:tcPr>
          <w:p>
            <w:pPr>
              <w:widowControl/>
              <w:spacing w:after="0"/>
            </w:pPr>
            <w:r>
              <w:rPr>
                <w:rFonts w:ascii="Calibri" w:hAnsi="Calibri"/>
                <w:b w:val="0"/>
                <w:color w:val="1F2937"/>
                <w:sz w:val="15"/>
              </w:rPr>
              <w:t>Provider suitability, standards, resources, controls, continuity, subcontracting and audit assurance assessed.</w:t>
            </w:r>
          </w:p>
        </w:tc>
        <w:tc>
          <w:tcPr>
            <w:tcW w:type="dxa" w:w="2174"/>
            <w:tcMar>
              <w:top w:w="80" w:type="dxa"/>
              <w:start w:w="110" w:type="dxa"/>
              <w:bottom w:w="80" w:type="dxa"/>
              <w:end w:w="110" w:type="dxa"/>
            </w:tcMar>
            <w:vAlign w:val="center"/>
            <w:shd w:fill="F8FAFC"/>
          </w:tcPr>
          <w:p>
            <w:pPr>
              <w:widowControl/>
              <w:spacing w:after="0"/>
            </w:pPr>
            <w:r>
              <w:rPr>
                <w:rFonts w:ascii="Calibri" w:hAnsi="Calibri"/>
                <w:b w:val="0"/>
                <w:color w:val="1F2937"/>
                <w:sz w:val="15"/>
              </w:rPr>
              <w:t>D11</w:t>
            </w:r>
          </w:p>
        </w:tc>
      </w:tr>
      <w:tr>
        <w:trPr>
          <w:cantSplit/>
        </w:trPr>
        <w:tc>
          <w:tcPr>
            <w:tcW w:type="dxa" w:w="1584"/>
            <w:tcMar>
              <w:top w:w="80" w:type="dxa"/>
              <w:start w:w="110" w:type="dxa"/>
              <w:bottom w:w="80" w:type="dxa"/>
              <w:end w:w="110" w:type="dxa"/>
            </w:tcMar>
            <w:vAlign w:val="center"/>
          </w:tcPr>
          <w:p>
            <w:pPr>
              <w:widowControl/>
              <w:spacing w:after="0"/>
            </w:pPr>
            <w:r>
              <w:rPr>
                <w:rFonts w:ascii="Calibri" w:hAnsi="Calibri"/>
                <w:b/>
                <w:color w:val="1F4D78"/>
                <w:sz w:val="15"/>
              </w:rPr>
              <w:t>Contract</w:t>
            </w:r>
          </w:p>
        </w:tc>
        <w:tc>
          <w:tcPr>
            <w:tcW w:type="dxa" w:w="6120"/>
            <w:tcMar>
              <w:top w:w="80" w:type="dxa"/>
              <w:start w:w="110" w:type="dxa"/>
              <w:bottom w:w="80" w:type="dxa"/>
              <w:end w:w="110" w:type="dxa"/>
            </w:tcMar>
            <w:vAlign w:val="center"/>
          </w:tcPr>
          <w:p>
            <w:pPr>
              <w:widowControl/>
              <w:spacing w:after="0"/>
            </w:pPr>
            <w:r>
              <w:rPr>
                <w:rFonts w:ascii="Calibri" w:hAnsi="Calibri"/>
                <w:b w:val="0"/>
                <w:color w:val="1F2937"/>
                <w:sz w:val="15"/>
              </w:rPr>
              <w:t>Article 30 and subcontracting terms satisfied or gap decision approved.</w:t>
            </w:r>
          </w:p>
        </w:tc>
        <w:tc>
          <w:tcPr>
            <w:tcW w:type="dxa" w:w="2174"/>
            <w:tcMar>
              <w:top w:w="80" w:type="dxa"/>
              <w:start w:w="110" w:type="dxa"/>
              <w:bottom w:w="80" w:type="dxa"/>
              <w:end w:w="110" w:type="dxa"/>
            </w:tcMar>
            <w:vAlign w:val="center"/>
          </w:tcPr>
          <w:p>
            <w:pPr>
              <w:widowControl/>
              <w:spacing w:after="0"/>
            </w:pPr>
            <w:r>
              <w:rPr>
                <w:rFonts w:ascii="Calibri" w:hAnsi="Calibri"/>
                <w:b w:val="0"/>
                <w:color w:val="1F2937"/>
                <w:sz w:val="15"/>
              </w:rPr>
              <w:t>D11 contract matrix</w:t>
            </w:r>
          </w:p>
        </w:tc>
      </w:tr>
      <w:tr>
        <w:trPr>
          <w:cantSplit/>
        </w:trPr>
        <w:tc>
          <w:tcPr>
            <w:tcW w:type="dxa" w:w="1584"/>
            <w:tcMar>
              <w:top w:w="80" w:type="dxa"/>
              <w:start w:w="110" w:type="dxa"/>
              <w:bottom w:w="80" w:type="dxa"/>
              <w:end w:w="110" w:type="dxa"/>
            </w:tcMar>
            <w:vAlign w:val="center"/>
            <w:shd w:fill="F8FAFC"/>
          </w:tcPr>
          <w:p>
            <w:pPr>
              <w:widowControl/>
              <w:spacing w:after="0"/>
            </w:pPr>
            <w:r>
              <w:rPr>
                <w:rFonts w:ascii="Calibri" w:hAnsi="Calibri"/>
                <w:b/>
                <w:color w:val="1F4D78"/>
                <w:sz w:val="15"/>
              </w:rPr>
              <w:t>Notification</w:t>
            </w:r>
          </w:p>
        </w:tc>
        <w:tc>
          <w:tcPr>
            <w:tcW w:type="dxa" w:w="6120"/>
            <w:tcMar>
              <w:top w:w="80" w:type="dxa"/>
              <w:start w:w="110" w:type="dxa"/>
              <w:bottom w:w="80" w:type="dxa"/>
              <w:end w:w="110" w:type="dxa"/>
            </w:tcMar>
            <w:vAlign w:val="center"/>
            <w:shd w:fill="F8FAFC"/>
          </w:tcPr>
          <w:p>
            <w:pPr>
              <w:widowControl/>
              <w:spacing w:after="0"/>
            </w:pPr>
            <w:r>
              <w:rPr>
                <w:rFonts w:ascii="Calibri" w:hAnsi="Calibri"/>
                <w:b w:val="0"/>
                <w:color w:val="1F2937"/>
                <w:sz w:val="15"/>
              </w:rPr>
              <w:t>Advance Central Bank notification completed where required.</w:t>
            </w:r>
          </w:p>
        </w:tc>
        <w:tc>
          <w:tcPr>
            <w:tcW w:type="dxa" w:w="2174"/>
            <w:tcMar>
              <w:top w:w="80" w:type="dxa"/>
              <w:start w:w="110" w:type="dxa"/>
              <w:bottom w:w="80" w:type="dxa"/>
              <w:end w:w="110" w:type="dxa"/>
            </w:tcMar>
            <w:vAlign w:val="center"/>
            <w:shd w:fill="F8FAFC"/>
          </w:tcPr>
          <w:p>
            <w:pPr>
              <w:widowControl/>
              <w:spacing w:after="0"/>
            </w:pPr>
            <w:r>
              <w:rPr>
                <w:rFonts w:ascii="Calibri" w:hAnsi="Calibri"/>
                <w:b w:val="0"/>
                <w:color w:val="1F2937"/>
                <w:sz w:val="15"/>
              </w:rPr>
              <w:t>Notification record</w:t>
            </w:r>
          </w:p>
        </w:tc>
      </w:tr>
      <w:tr>
        <w:trPr>
          <w:cantSplit/>
        </w:trPr>
        <w:tc>
          <w:tcPr>
            <w:tcW w:type="dxa" w:w="1584"/>
            <w:tcMar>
              <w:top w:w="80" w:type="dxa"/>
              <w:start w:w="110" w:type="dxa"/>
              <w:bottom w:w="80" w:type="dxa"/>
              <w:end w:w="110" w:type="dxa"/>
            </w:tcMar>
            <w:vAlign w:val="center"/>
          </w:tcPr>
          <w:p>
            <w:pPr>
              <w:widowControl/>
              <w:spacing w:after="0"/>
            </w:pPr>
            <w:r>
              <w:rPr>
                <w:rFonts w:ascii="Calibri" w:hAnsi="Calibri"/>
                <w:b/>
                <w:color w:val="1F4D78"/>
                <w:sz w:val="15"/>
              </w:rPr>
              <w:t>Onboarding</w:t>
            </w:r>
          </w:p>
        </w:tc>
        <w:tc>
          <w:tcPr>
            <w:tcW w:type="dxa" w:w="6120"/>
            <w:tcMar>
              <w:top w:w="80" w:type="dxa"/>
              <w:start w:w="110" w:type="dxa"/>
              <w:bottom w:w="80" w:type="dxa"/>
              <w:end w:w="110" w:type="dxa"/>
            </w:tcMar>
            <w:vAlign w:val="center"/>
          </w:tcPr>
          <w:p>
            <w:pPr>
              <w:widowControl/>
              <w:spacing w:after="0"/>
            </w:pPr>
            <w:r>
              <w:rPr>
                <w:rFonts w:ascii="Calibri" w:hAnsi="Calibri"/>
                <w:b w:val="0"/>
                <w:color w:val="1F2937"/>
                <w:sz w:val="15"/>
              </w:rPr>
              <w:t>D10 complete; access/security/continuity actions implemented; owner accepts service.</w:t>
            </w:r>
          </w:p>
        </w:tc>
        <w:tc>
          <w:tcPr>
            <w:tcW w:type="dxa" w:w="2174"/>
            <w:tcMar>
              <w:top w:w="80" w:type="dxa"/>
              <w:start w:w="110" w:type="dxa"/>
              <w:bottom w:w="80" w:type="dxa"/>
              <w:end w:w="110" w:type="dxa"/>
            </w:tcMar>
            <w:vAlign w:val="center"/>
          </w:tcPr>
          <w:p>
            <w:pPr>
              <w:widowControl/>
              <w:spacing w:after="0"/>
            </w:pPr>
            <w:r>
              <w:rPr>
                <w:rFonts w:ascii="Calibri" w:hAnsi="Calibri"/>
                <w:b w:val="0"/>
                <w:color w:val="1F2937"/>
                <w:sz w:val="15"/>
              </w:rPr>
              <w:t>D10 / D14</w:t>
            </w:r>
          </w:p>
        </w:tc>
      </w:tr>
      <w:tr>
        <w:trPr>
          <w:cantSplit/>
        </w:trPr>
        <w:tc>
          <w:tcPr>
            <w:tcW w:type="dxa" w:w="1584"/>
            <w:tcMar>
              <w:top w:w="80" w:type="dxa"/>
              <w:start w:w="110" w:type="dxa"/>
              <w:bottom w:w="80" w:type="dxa"/>
              <w:end w:w="110" w:type="dxa"/>
            </w:tcMar>
            <w:vAlign w:val="center"/>
            <w:shd w:fill="F8FAFC"/>
          </w:tcPr>
          <w:p>
            <w:pPr>
              <w:widowControl/>
              <w:spacing w:after="0"/>
            </w:pPr>
            <w:r>
              <w:rPr>
                <w:rFonts w:ascii="Calibri" w:hAnsi="Calibri"/>
                <w:b/>
                <w:color w:val="1F4D78"/>
                <w:sz w:val="15"/>
              </w:rPr>
              <w:t>Monitoring</w:t>
            </w:r>
          </w:p>
        </w:tc>
        <w:tc>
          <w:tcPr>
            <w:tcW w:type="dxa" w:w="6120"/>
            <w:tcMar>
              <w:top w:w="80" w:type="dxa"/>
              <w:start w:w="110" w:type="dxa"/>
              <w:bottom w:w="80" w:type="dxa"/>
              <w:end w:w="110" w:type="dxa"/>
            </w:tcMar>
            <w:vAlign w:val="center"/>
            <w:shd w:fill="F8FAFC"/>
          </w:tcPr>
          <w:p>
            <w:pPr>
              <w:widowControl/>
              <w:spacing w:after="0"/>
            </w:pPr>
            <w:r>
              <w:rPr>
                <w:rFonts w:ascii="Calibri" w:hAnsi="Calibri"/>
                <w:b w:val="0"/>
                <w:color w:val="1F2937"/>
                <w:sz w:val="15"/>
              </w:rPr>
              <w:t>Performance, controls, incidents, changes, financial health and risk reviewed.</w:t>
            </w:r>
          </w:p>
        </w:tc>
        <w:tc>
          <w:tcPr>
            <w:tcW w:type="dxa" w:w="2174"/>
            <w:tcMar>
              <w:top w:w="80" w:type="dxa"/>
              <w:start w:w="110" w:type="dxa"/>
              <w:bottom w:w="80" w:type="dxa"/>
              <w:end w:w="110" w:type="dxa"/>
            </w:tcMar>
            <w:vAlign w:val="center"/>
            <w:shd w:fill="F8FAFC"/>
          </w:tcPr>
          <w:p>
            <w:pPr>
              <w:widowControl/>
              <w:spacing w:after="0"/>
            </w:pPr>
            <w:r>
              <w:rPr>
                <w:rFonts w:ascii="Calibri" w:hAnsi="Calibri"/>
                <w:b w:val="0"/>
                <w:color w:val="1F2937"/>
                <w:sz w:val="15"/>
              </w:rPr>
              <w:t>D11 review</w:t>
            </w:r>
          </w:p>
        </w:tc>
      </w:tr>
      <w:tr>
        <w:trPr>
          <w:cantSplit/>
        </w:trPr>
        <w:tc>
          <w:tcPr>
            <w:tcW w:type="dxa" w:w="1584"/>
            <w:tcMar>
              <w:top w:w="80" w:type="dxa"/>
              <w:start w:w="110" w:type="dxa"/>
              <w:bottom w:w="80" w:type="dxa"/>
              <w:end w:w="110" w:type="dxa"/>
            </w:tcMar>
            <w:vAlign w:val="center"/>
          </w:tcPr>
          <w:p>
            <w:pPr>
              <w:widowControl/>
              <w:spacing w:after="0"/>
            </w:pPr>
            <w:r>
              <w:rPr>
                <w:rFonts w:ascii="Calibri" w:hAnsi="Calibri"/>
                <w:b/>
                <w:color w:val="1F4D78"/>
                <w:sz w:val="15"/>
              </w:rPr>
              <w:t>Exit / termination</w:t>
            </w:r>
          </w:p>
        </w:tc>
        <w:tc>
          <w:tcPr>
            <w:tcW w:type="dxa" w:w="6120"/>
            <w:tcMar>
              <w:top w:w="80" w:type="dxa"/>
              <w:start w:w="110" w:type="dxa"/>
              <w:bottom w:w="80" w:type="dxa"/>
              <w:end w:w="110" w:type="dxa"/>
            </w:tcMar>
            <w:vAlign w:val="center"/>
          </w:tcPr>
          <w:p>
            <w:pPr>
              <w:widowControl/>
              <w:spacing w:after="0"/>
            </w:pPr>
            <w:r>
              <w:rPr>
                <w:rFonts w:ascii="Calibri" w:hAnsi="Calibri"/>
                <w:b w:val="0"/>
                <w:color w:val="1F2937"/>
                <w:sz w:val="15"/>
              </w:rPr>
              <w:t>Exit plan feasible, tested proportionately and invoked on trigger.</w:t>
            </w:r>
          </w:p>
        </w:tc>
        <w:tc>
          <w:tcPr>
            <w:tcW w:type="dxa" w:w="2174"/>
            <w:tcMar>
              <w:top w:w="80" w:type="dxa"/>
              <w:start w:w="110" w:type="dxa"/>
              <w:bottom w:w="80" w:type="dxa"/>
              <w:end w:w="110" w:type="dxa"/>
            </w:tcMar>
            <w:vAlign w:val="center"/>
          </w:tcPr>
          <w:p>
            <w:pPr>
              <w:widowControl/>
              <w:spacing w:after="0"/>
            </w:pPr>
            <w:r>
              <w:rPr>
                <w:rFonts w:ascii="Calibri" w:hAnsi="Calibri"/>
                <w:b w:val="0"/>
                <w:color w:val="1F2937"/>
                <w:sz w:val="15"/>
              </w:rPr>
              <w:t>D11 exit plan</w:t>
            </w:r>
          </w:p>
        </w:tc>
      </w:tr>
    </w:tbl>
    <w:p>
      <w:pPr>
        <w:widowControl/>
        <w:spacing w:after="0"/>
      </w:pPr>
    </w:p>
    <w:p>
      <w:pPr>
        <w:pStyle w:val="Heading1"/>
        <w:widowControl/>
      </w:pPr>
      <w:r>
        <w:t>4. Critical or important function assessment</w:t>
      </w:r>
    </w:p>
    <w:p>
      <w:pPr>
        <w:widowControl/>
      </w:pPr>
      <w:r>
        <w:t>Assess whether disruption would materially impair financial performance, soundness, continuity of services/activities, authorisation conditions or other legal obligations. Consider substitutability, data, transaction/client impact, manual workarounds, maximum tolerable disruption and other providers. Review before contract, on material change and when a supported function changes classification.</w:t>
      </w:r>
    </w:p>
    <w:p>
      <w:pPr>
        <w:pStyle w:val="Heading1"/>
        <w:widowControl/>
      </w:pPr>
      <w:r>
        <w:t>5. Pre-contract risk assessment and due diligence</w:t>
      </w:r>
    </w:p>
    <w:p>
      <w:pPr>
        <w:pStyle w:val="ListBullet"/>
        <w:widowControl/>
        <w:ind w:left="461"/>
      </w:pPr>
      <w:r>
        <w:t>business reputation, authorisation/registration and financial viability;</w:t>
      </w:r>
    </w:p>
    <w:p>
      <w:pPr>
        <w:pStyle w:val="ListBullet"/>
        <w:widowControl/>
        <w:ind w:left="461"/>
      </w:pPr>
      <w:r>
        <w:t>skills, capacity, organisation, governance, risk management and internal controls;</w:t>
      </w:r>
    </w:p>
    <w:p>
      <w:pPr>
        <w:pStyle w:val="ListBullet"/>
        <w:widowControl/>
        <w:ind w:left="461"/>
      </w:pPr>
      <w:r>
        <w:t>information-security standards, certifications, audit reports and control effectiveness;</w:t>
      </w:r>
    </w:p>
    <w:p>
      <w:pPr>
        <w:pStyle w:val="ListBullet"/>
        <w:widowControl/>
        <w:ind w:left="461"/>
      </w:pPr>
      <w:r>
        <w:t>business continuity, recovery, backup, testing and incident support;</w:t>
      </w:r>
    </w:p>
    <w:p>
      <w:pPr>
        <w:pStyle w:val="ListBullet"/>
        <w:widowControl/>
        <w:ind w:left="461"/>
      </w:pPr>
      <w:r>
        <w:t>data access, confidentiality, integrity, availability, authenticity, location, return and deletion;</w:t>
      </w:r>
    </w:p>
    <w:p>
      <w:pPr>
        <w:pStyle w:val="ListBullet"/>
        <w:widowControl/>
        <w:ind w:left="461"/>
      </w:pPr>
      <w:r>
        <w:t>subcontractor use, locations, monitoring, material-change rights and supply-chain visibility;</w:t>
      </w:r>
    </w:p>
    <w:p>
      <w:pPr>
        <w:pStyle w:val="ListBullet"/>
        <w:widowControl/>
        <w:ind w:left="461"/>
      </w:pPr>
      <w:r>
        <w:t>audit/inspection cooperation, authority access and ability to produce information;</w:t>
      </w:r>
    </w:p>
    <w:p>
      <w:pPr>
        <w:pStyle w:val="ListBullet"/>
        <w:widowControl/>
        <w:ind w:left="461"/>
      </w:pPr>
      <w:r>
        <w:t>legal, sanctions, geopolitical, human-rights/environmental and ethical risk where relevant;</w:t>
      </w:r>
    </w:p>
    <w:p>
      <w:pPr>
        <w:pStyle w:val="ListBullet"/>
        <w:widowControl/>
        <w:ind w:left="461"/>
      </w:pPr>
      <w:r>
        <w:t>concentration, lock-in, portability, substitutability, transition time and exit feasibility.</w:t>
      </w:r>
    </w:p>
    <w:p>
      <w:pPr>
        <w:pStyle w:val="Heading1"/>
        <w:widowControl/>
      </w:pPr>
      <w:r>
        <w:t>6. Approval and contracting</w:t>
      </w:r>
    </w:p>
    <w:p>
      <w:pPr>
        <w:widowControl/>
      </w:pPr>
      <w:r>
        <w:t>No service may be used before the required risk, due-diligence, contract, notification, security, access, continuity and register steps are completed, except under a documented emergency approval with time-limited remediation. Contracts shall be written, complete and accessible in one document or clearly identified connected documents.</w:t>
      </w:r>
    </w:p>
    <w:p>
      <w:pPr>
        <w:pStyle w:val="Heading1"/>
        <w:widowControl/>
      </w:pPr>
      <w:r>
        <w:t>7. Central Bank notification and annual reporting</w:t>
      </w:r>
    </w:p>
    <w:p>
      <w:pPr>
        <w:pStyle w:val="ListNumber"/>
        <w:widowControl/>
      </w:pPr>
      <w:r>
        <w:t>Notify the Central Bank in advance of planned arrangements supporting critical or important functions.</w:t>
      </w:r>
    </w:p>
    <w:p>
      <w:pPr>
        <w:pStyle w:val="ListNumber"/>
        <w:widowControl/>
      </w:pPr>
      <w:r>
        <w:t>Notify when a function becomes critical or important and relevant changes to such outsourcing.</w:t>
      </w:r>
    </w:p>
    <w:p>
      <w:pPr>
        <w:pStyle w:val="ListNumber"/>
        <w:widowControl/>
      </w:pPr>
      <w:r>
        <w:t>Maintain the D10 register so the complete register or requested sections can be provided promptly.</w:t>
      </w:r>
    </w:p>
    <w:p>
      <w:pPr>
        <w:pStyle w:val="ListNumber"/>
        <w:widowControl/>
      </w:pPr>
      <w:r>
        <w:t>Support at least annual reporting on new arrangements, provider categories, contract types, ICT services and functions.</w:t>
      </w:r>
    </w:p>
    <w:p>
      <w:pPr>
        <w:pStyle w:val="ListNumber"/>
        <w:widowControl/>
      </w:pPr>
      <w:r>
        <w:t>Retain submission confirmation, underlying decision and version submitted.</w:t>
      </w:r>
    </w:p>
    <w:p>
      <w:pPr>
        <w:pStyle w:val="Heading1"/>
        <w:widowControl/>
      </w:pPr>
      <w:r>
        <w:t>8. Ongoing monitoring and changes</w:t>
      </w:r>
    </w:p>
    <w:tbl>
      <w:tblPr>
        <w:tblStyle w:val="TableGrid"/>
        <w:tblW w:type="auto" w:w="0"/>
        <w:jc w:val="center"/>
        <w:tblLayout w:type="fixed"/>
        <w:tblLook w:firstColumn="1" w:firstRow="1" w:lastColumn="0" w:lastRow="0" w:noHBand="0" w:noVBand="1" w:val="04A0"/>
      </w:tblPr>
      <w:tblGrid>
        <w:gridCol w:w="2376"/>
        <w:gridCol w:w="7502"/>
      </w:tblGrid>
      <w:tr>
        <w:trPr>
          <w:tblHeader w:val="true"/>
        </w:trPr>
        <w:tc>
          <w:tcPr>
            <w:tcW w:type="dxa" w:w="2376"/>
            <w:shd w:fill="17365D"/>
            <w:tcMar>
              <w:top w:w="80" w:type="dxa"/>
              <w:start w:w="110" w:type="dxa"/>
              <w:bottom w:w="80" w:type="dxa"/>
              <w:end w:w="110" w:type="dxa"/>
            </w:tcMar>
            <w:vAlign w:val="center"/>
          </w:tcPr>
          <w:p>
            <w:pPr>
              <w:widowControl/>
            </w:pPr>
            <w:r>
              <w:rPr>
                <w:rFonts w:ascii="Calibri" w:hAnsi="Calibri"/>
                <w:b/>
                <w:color w:val="FFFFFF"/>
                <w:sz w:val="16"/>
              </w:rPr>
              <w:t>Monitoring area</w:t>
            </w:r>
          </w:p>
        </w:tc>
        <w:tc>
          <w:tcPr>
            <w:tcW w:type="dxa" w:w="7502"/>
            <w:shd w:fill="17365D"/>
            <w:tcMar>
              <w:top w:w="80" w:type="dxa"/>
              <w:start w:w="110" w:type="dxa"/>
              <w:bottom w:w="80" w:type="dxa"/>
              <w:end w:w="110" w:type="dxa"/>
            </w:tcMar>
            <w:vAlign w:val="center"/>
          </w:tcPr>
          <w:p>
            <w:pPr>
              <w:widowControl/>
            </w:pPr>
            <w:r>
              <w:rPr>
                <w:rFonts w:ascii="Calibri" w:hAnsi="Calibri"/>
                <w:b/>
                <w:color w:val="FFFFFF"/>
                <w:sz w:val="16"/>
              </w:rPr>
              <w:t>Evidence / trigger</w:t>
            </w:r>
          </w:p>
        </w:tc>
      </w:tr>
      <w:tr>
        <w:trPr>
          <w:cantSplit/>
        </w:trPr>
        <w:tc>
          <w:tcPr>
            <w:tcW w:type="dxa" w:w="2376"/>
            <w:tcMar>
              <w:top w:w="80" w:type="dxa"/>
              <w:start w:w="110" w:type="dxa"/>
              <w:bottom w:w="80" w:type="dxa"/>
              <w:end w:w="110" w:type="dxa"/>
            </w:tcMar>
            <w:vAlign w:val="center"/>
          </w:tcPr>
          <w:p>
            <w:pPr>
              <w:widowControl/>
              <w:spacing w:after="0"/>
            </w:pPr>
            <w:r>
              <w:rPr>
                <w:rFonts w:ascii="Calibri" w:hAnsi="Calibri"/>
                <w:b/>
                <w:color w:val="1F4D78"/>
                <w:sz w:val="16"/>
              </w:rPr>
              <w:t>Service performance</w:t>
            </w:r>
          </w:p>
        </w:tc>
        <w:tc>
          <w:tcPr>
            <w:tcW w:type="dxa" w:w="7502"/>
            <w:tcMar>
              <w:top w:w="80" w:type="dxa"/>
              <w:start w:w="110" w:type="dxa"/>
              <w:bottom w:w="80" w:type="dxa"/>
              <w:end w:w="110" w:type="dxa"/>
            </w:tcMar>
            <w:vAlign w:val="center"/>
          </w:tcPr>
          <w:p>
            <w:pPr>
              <w:widowControl/>
              <w:spacing w:after="0"/>
            </w:pPr>
            <w:r>
              <w:rPr>
                <w:rFonts w:ascii="Calibri" w:hAnsi="Calibri"/>
                <w:b w:val="0"/>
                <w:color w:val="1F2937"/>
                <w:sz w:val="16"/>
              </w:rPr>
              <w:t>SLA/KPI/KCI, outages, incidents, support quality and capacity</w:t>
            </w:r>
          </w:p>
        </w:tc>
      </w:tr>
      <w:tr>
        <w:trPr>
          <w:cantSplit/>
        </w:trPr>
        <w:tc>
          <w:tcPr>
            <w:tcW w:type="dxa" w:w="2376"/>
            <w:tcMar>
              <w:top w:w="80" w:type="dxa"/>
              <w:start w:w="110" w:type="dxa"/>
              <w:bottom w:w="80" w:type="dxa"/>
              <w:end w:w="110" w:type="dxa"/>
            </w:tcMar>
            <w:vAlign w:val="center"/>
            <w:shd w:fill="F8FAFC"/>
          </w:tcPr>
          <w:p>
            <w:pPr>
              <w:widowControl/>
              <w:spacing w:after="0"/>
            </w:pPr>
            <w:r>
              <w:rPr>
                <w:rFonts w:ascii="Calibri" w:hAnsi="Calibri"/>
                <w:b/>
                <w:color w:val="1F4D78"/>
                <w:sz w:val="16"/>
              </w:rPr>
              <w:t>Security and resilience</w:t>
            </w:r>
          </w:p>
        </w:tc>
        <w:tc>
          <w:tcPr>
            <w:tcW w:type="dxa" w:w="7502"/>
            <w:tcMar>
              <w:top w:w="80" w:type="dxa"/>
              <w:start w:w="110" w:type="dxa"/>
              <w:bottom w:w="80" w:type="dxa"/>
              <w:end w:w="110" w:type="dxa"/>
            </w:tcMar>
            <w:vAlign w:val="center"/>
            <w:shd w:fill="F8FAFC"/>
          </w:tcPr>
          <w:p>
            <w:pPr>
              <w:widowControl/>
              <w:spacing w:after="0"/>
            </w:pPr>
            <w:r>
              <w:rPr>
                <w:rFonts w:ascii="Calibri" w:hAnsi="Calibri"/>
                <w:b w:val="0"/>
                <w:color w:val="1F2937"/>
                <w:sz w:val="16"/>
              </w:rPr>
              <w:t>Assurance reports, certifications, vulnerability notices, continuity tests and material findings</w:t>
            </w:r>
          </w:p>
        </w:tc>
      </w:tr>
      <w:tr>
        <w:trPr>
          <w:cantSplit/>
        </w:trPr>
        <w:tc>
          <w:tcPr>
            <w:tcW w:type="dxa" w:w="2376"/>
            <w:tcMar>
              <w:top w:w="80" w:type="dxa"/>
              <w:start w:w="110" w:type="dxa"/>
              <w:bottom w:w="80" w:type="dxa"/>
              <w:end w:w="110" w:type="dxa"/>
            </w:tcMar>
            <w:vAlign w:val="center"/>
          </w:tcPr>
          <w:p>
            <w:pPr>
              <w:widowControl/>
              <w:spacing w:after="0"/>
            </w:pPr>
            <w:r>
              <w:rPr>
                <w:rFonts w:ascii="Calibri" w:hAnsi="Calibri"/>
                <w:b/>
                <w:color w:val="1F4D78"/>
                <w:sz w:val="16"/>
              </w:rPr>
              <w:t>Subcontracting</w:t>
            </w:r>
          </w:p>
        </w:tc>
        <w:tc>
          <w:tcPr>
            <w:tcW w:type="dxa" w:w="7502"/>
            <w:tcMar>
              <w:top w:w="80" w:type="dxa"/>
              <w:start w:w="110" w:type="dxa"/>
              <w:bottom w:w="80" w:type="dxa"/>
              <w:end w:w="110" w:type="dxa"/>
            </w:tcMar>
            <w:vAlign w:val="center"/>
          </w:tcPr>
          <w:p>
            <w:pPr>
              <w:widowControl/>
              <w:spacing w:after="0"/>
            </w:pPr>
            <w:r>
              <w:rPr>
                <w:rFonts w:ascii="Calibri" w:hAnsi="Calibri"/>
                <w:b w:val="0"/>
                <w:color w:val="1F2937"/>
                <w:sz w:val="16"/>
              </w:rPr>
              <w:t>Current supply chain, new/material changes, objections and risk reassessment</w:t>
            </w:r>
          </w:p>
        </w:tc>
      </w:tr>
      <w:tr>
        <w:trPr>
          <w:cantSplit/>
        </w:trPr>
        <w:tc>
          <w:tcPr>
            <w:tcW w:type="dxa" w:w="2376"/>
            <w:tcMar>
              <w:top w:w="80" w:type="dxa"/>
              <w:start w:w="110" w:type="dxa"/>
              <w:bottom w:w="80" w:type="dxa"/>
              <w:end w:w="110" w:type="dxa"/>
            </w:tcMar>
            <w:vAlign w:val="center"/>
            <w:shd w:fill="F8FAFC"/>
          </w:tcPr>
          <w:p>
            <w:pPr>
              <w:widowControl/>
              <w:spacing w:after="0"/>
            </w:pPr>
            <w:r>
              <w:rPr>
                <w:rFonts w:ascii="Calibri" w:hAnsi="Calibri"/>
                <w:b/>
                <w:color w:val="1F4D78"/>
                <w:sz w:val="16"/>
              </w:rPr>
              <w:t>Legal / financial</w:t>
            </w:r>
          </w:p>
        </w:tc>
        <w:tc>
          <w:tcPr>
            <w:tcW w:type="dxa" w:w="7502"/>
            <w:tcMar>
              <w:top w:w="80" w:type="dxa"/>
              <w:start w:w="110" w:type="dxa"/>
              <w:bottom w:w="80" w:type="dxa"/>
              <w:end w:w="110" w:type="dxa"/>
            </w:tcMar>
            <w:vAlign w:val="center"/>
            <w:shd w:fill="F8FAFC"/>
          </w:tcPr>
          <w:p>
            <w:pPr>
              <w:widowControl/>
              <w:spacing w:after="0"/>
            </w:pPr>
            <w:r>
              <w:rPr>
                <w:rFonts w:ascii="Calibri" w:hAnsi="Calibri"/>
                <w:b w:val="0"/>
                <w:color w:val="1F2937"/>
                <w:sz w:val="16"/>
              </w:rPr>
              <w:t>Authorisation, litigation/sanctions, financial health, ownership and location change</w:t>
            </w:r>
          </w:p>
        </w:tc>
      </w:tr>
      <w:tr>
        <w:trPr>
          <w:cantSplit/>
        </w:trPr>
        <w:tc>
          <w:tcPr>
            <w:tcW w:type="dxa" w:w="2376"/>
            <w:tcMar>
              <w:top w:w="80" w:type="dxa"/>
              <w:start w:w="110" w:type="dxa"/>
              <w:bottom w:w="80" w:type="dxa"/>
              <w:end w:w="110" w:type="dxa"/>
            </w:tcMar>
            <w:vAlign w:val="center"/>
          </w:tcPr>
          <w:p>
            <w:pPr>
              <w:widowControl/>
              <w:spacing w:after="0"/>
            </w:pPr>
            <w:r>
              <w:rPr>
                <w:rFonts w:ascii="Calibri" w:hAnsi="Calibri"/>
                <w:b/>
                <w:color w:val="1F4D78"/>
                <w:sz w:val="16"/>
              </w:rPr>
              <w:t>Concentration / exit</w:t>
            </w:r>
          </w:p>
        </w:tc>
        <w:tc>
          <w:tcPr>
            <w:tcW w:type="dxa" w:w="7502"/>
            <w:tcMar>
              <w:top w:w="80" w:type="dxa"/>
              <w:start w:w="110" w:type="dxa"/>
              <w:bottom w:w="80" w:type="dxa"/>
              <w:end w:w="110" w:type="dxa"/>
            </w:tcMar>
            <w:vAlign w:val="center"/>
          </w:tcPr>
          <w:p>
            <w:pPr>
              <w:widowControl/>
              <w:spacing w:after="0"/>
            </w:pPr>
            <w:r>
              <w:rPr>
                <w:rFonts w:ascii="Calibri" w:hAnsi="Calibri"/>
                <w:b w:val="0"/>
                <w:color w:val="1F2937"/>
                <w:sz w:val="16"/>
              </w:rPr>
              <w:t>Portfolio dependency, alternatives, portability, transition time and exit readiness</w:t>
            </w:r>
          </w:p>
        </w:tc>
      </w:tr>
      <w:tr>
        <w:trPr>
          <w:cantSplit/>
        </w:trPr>
        <w:tc>
          <w:tcPr>
            <w:tcW w:type="dxa" w:w="2376"/>
            <w:tcMar>
              <w:top w:w="80" w:type="dxa"/>
              <w:start w:w="110" w:type="dxa"/>
              <w:bottom w:w="80" w:type="dxa"/>
              <w:end w:w="110" w:type="dxa"/>
            </w:tcMar>
            <w:vAlign w:val="center"/>
            <w:shd w:fill="F8FAFC"/>
          </w:tcPr>
          <w:p>
            <w:pPr>
              <w:widowControl/>
              <w:spacing w:after="0"/>
            </w:pPr>
            <w:r>
              <w:rPr>
                <w:rFonts w:ascii="Calibri" w:hAnsi="Calibri"/>
                <w:b/>
                <w:color w:val="1F4D78"/>
                <w:sz w:val="16"/>
              </w:rPr>
              <w:t>Contract compliance</w:t>
            </w:r>
          </w:p>
        </w:tc>
        <w:tc>
          <w:tcPr>
            <w:tcW w:type="dxa" w:w="7502"/>
            <w:tcMar>
              <w:top w:w="80" w:type="dxa"/>
              <w:start w:w="110" w:type="dxa"/>
              <w:bottom w:w="80" w:type="dxa"/>
              <w:end w:w="110" w:type="dxa"/>
            </w:tcMar>
            <w:vAlign w:val="center"/>
            <w:shd w:fill="F8FAFC"/>
          </w:tcPr>
          <w:p>
            <w:pPr>
              <w:widowControl/>
              <w:spacing w:after="0"/>
            </w:pPr>
            <w:r>
              <w:rPr>
                <w:rFonts w:ascii="Calibri" w:hAnsi="Calibri"/>
                <w:b w:val="0"/>
                <w:color w:val="1F2937"/>
                <w:sz w:val="16"/>
              </w:rPr>
              <w:t>Article 30 gaps, addenda, expiries, renewal and audit rights</w:t>
            </w:r>
          </w:p>
        </w:tc>
      </w:tr>
      <w:tr>
        <w:trPr>
          <w:cantSplit/>
        </w:trPr>
        <w:tc>
          <w:tcPr>
            <w:tcW w:type="dxa" w:w="2376"/>
            <w:tcMar>
              <w:top w:w="80" w:type="dxa"/>
              <w:start w:w="110" w:type="dxa"/>
              <w:bottom w:w="80" w:type="dxa"/>
              <w:end w:w="110" w:type="dxa"/>
            </w:tcMar>
            <w:vAlign w:val="center"/>
          </w:tcPr>
          <w:p>
            <w:pPr>
              <w:widowControl/>
              <w:spacing w:after="0"/>
            </w:pPr>
            <w:r>
              <w:rPr>
                <w:rFonts w:ascii="Calibri" w:hAnsi="Calibri"/>
                <w:b/>
                <w:color w:val="1F4D78"/>
                <w:sz w:val="16"/>
              </w:rPr>
              <w:t>Risk</w:t>
            </w:r>
          </w:p>
        </w:tc>
        <w:tc>
          <w:tcPr>
            <w:tcW w:type="dxa" w:w="7502"/>
            <w:tcMar>
              <w:top w:w="80" w:type="dxa"/>
              <w:start w:w="110" w:type="dxa"/>
              <w:bottom w:w="80" w:type="dxa"/>
              <w:end w:w="110" w:type="dxa"/>
            </w:tcMar>
            <w:vAlign w:val="center"/>
          </w:tcPr>
          <w:p>
            <w:pPr>
              <w:widowControl/>
              <w:spacing w:after="0"/>
            </w:pPr>
            <w:r>
              <w:rPr>
                <w:rFonts w:ascii="Calibri" w:hAnsi="Calibri"/>
                <w:b w:val="0"/>
                <w:color w:val="1F2937"/>
                <w:sz w:val="16"/>
              </w:rPr>
              <w:t>Update D03 where residual risk or criticality changes</w:t>
            </w:r>
          </w:p>
        </w:tc>
      </w:tr>
    </w:tbl>
    <w:p>
      <w:pPr>
        <w:widowControl/>
        <w:spacing w:after="0"/>
      </w:pPr>
    </w:p>
    <w:p>
      <w:pPr>
        <w:pStyle w:val="Heading1"/>
        <w:widowControl/>
      </w:pPr>
      <w:r>
        <w:t>9. Audit and assurance</w:t>
      </w:r>
    </w:p>
    <w:p>
      <w:pPr>
        <w:widowControl/>
      </w:pPr>
      <w:r>
        <w:t>Determine audit scope and frequency using risk and criticality. Certifications and provider audit reports may support assurance but shall be assessed for scope, currency, standards, auditor competence, control effectiveness, exclusions and relevance. The firm shall not rely indefinitely on generic reports where material risk remains untested. Exercise individual or pooled audit rights where necessary and feasible.</w:t>
      </w:r>
    </w:p>
    <w:p>
      <w:pPr>
        <w:pStyle w:val="Heading1"/>
        <w:widowControl/>
      </w:pPr>
      <w:r>
        <w:t>10. Termination and exit</w:t>
      </w:r>
    </w:p>
    <w:p>
      <w:pPr>
        <w:widowControl/>
      </w:pPr>
      <w:r>
        <w:t>Contracts shall be terminable for significant breach, material performance/risk change, evidenced ICT-risk weaknesses and circumstances preventing effective supervision. For critical services, D11 shall contain a comprehensive exit plan covering alternative solutions, transition, data transfer/return/deletion, access removal, continuity, resources, timeline, communications, testing and decision triggers.</w:t>
      </w:r>
    </w:p>
    <w:p>
      <w:pPr>
        <w:pStyle w:val="Heading1"/>
        <w:widowControl/>
      </w:pPr>
      <w:r>
        <w:t>11. Exceptions and residual risk</w:t>
      </w:r>
    </w:p>
    <w:p>
      <w:pPr>
        <w:widowControl/>
      </w:pPr>
      <w:r>
        <w:t>Where standard SaaS terms cannot be negotiated, the provider pack shall distinguish contractual protection obtained, standard provider documentation relied upon and residual risk accepted. A lack of bargaining power does not remove the obligation to assess, mitigate, escalate and document risk or to consider alternatives.</w:t>
      </w:r>
    </w:p>
    <w:p>
      <w:pPr>
        <w:widowControl/>
      </w:pPr>
      <w:r>
        <w:br w:type="page"/>
      </w:r>
    </w:p>
    <w:p>
      <w:pPr>
        <w:pStyle w:val="Heading1"/>
        <w:widowControl/>
      </w:pPr>
      <w:r>
        <w:t>Requirements addressed by this deliverable</w:t>
      </w:r>
    </w:p>
    <w:p>
      <w:pPr>
        <w:widowControl/>
      </w:pPr>
      <w:r>
        <w:t>This schedule is generated from the suite’s controlling traceability dataset. Primary and supporting mappings must be reconciled whenever this document changes. 170 requirement records are associated with D09.</w:t>
      </w:r>
    </w:p>
    <w:tbl>
      <w:tblPr>
        <w:tblStyle w:val="TableGrid"/>
        <w:tblW w:type="auto" w:w="0"/>
        <w:jc w:val="center"/>
        <w:tblLayout w:type="fixed"/>
        <w:tblLook w:firstColumn="1" w:firstRow="1" w:lastColumn="0" w:lastRow="0" w:noHBand="0" w:noVBand="1" w:val="04A0"/>
      </w:tblPr>
      <w:tblGrid>
        <w:gridCol w:w="1512"/>
        <w:gridCol w:w="1800"/>
        <w:gridCol w:w="1584"/>
        <w:gridCol w:w="2232"/>
        <w:gridCol w:w="2750"/>
      </w:tblGrid>
      <w:tr>
        <w:trPr>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3"/>
              </w:rPr>
              <w:t>ID</w:t>
            </w:r>
          </w:p>
        </w:tc>
        <w:tc>
          <w:tcPr>
            <w:tcW w:type="dxa" w:w="1800"/>
            <w:shd w:fill="17365D"/>
            <w:tcMar>
              <w:top w:w="80" w:type="dxa"/>
              <w:start w:w="110" w:type="dxa"/>
              <w:bottom w:w="80" w:type="dxa"/>
              <w:end w:w="110" w:type="dxa"/>
            </w:tcMar>
            <w:vAlign w:val="center"/>
          </w:tcPr>
          <w:p>
            <w:pPr>
              <w:widowControl/>
            </w:pPr>
            <w:r>
              <w:rPr>
                <w:rFonts w:ascii="Calibri" w:hAnsi="Calibri"/>
                <w:b/>
                <w:color w:val="FFFFFF"/>
                <w:sz w:val="13"/>
              </w:rPr>
              <w:t>Reference</w:t>
            </w:r>
          </w:p>
        </w:tc>
        <w:tc>
          <w:tcPr>
            <w:tcW w:type="dxa" w:w="1584"/>
            <w:shd w:fill="17365D"/>
            <w:tcMar>
              <w:top w:w="80" w:type="dxa"/>
              <w:start w:w="110" w:type="dxa"/>
              <w:bottom w:w="80" w:type="dxa"/>
              <w:end w:w="110" w:type="dxa"/>
            </w:tcMar>
            <w:vAlign w:val="center"/>
          </w:tcPr>
          <w:p>
            <w:pPr>
              <w:widowControl/>
            </w:pPr>
            <w:r>
              <w:rPr>
                <w:rFonts w:ascii="Calibri" w:hAnsi="Calibri"/>
                <w:b/>
                <w:color w:val="FFFFFF"/>
                <w:sz w:val="13"/>
              </w:rPr>
              <w:t>Applicability</w:t>
            </w:r>
          </w:p>
        </w:tc>
        <w:tc>
          <w:tcPr>
            <w:tcW w:type="dxa" w:w="2232"/>
            <w:shd w:fill="17365D"/>
            <w:tcMar>
              <w:top w:w="80" w:type="dxa"/>
              <w:start w:w="110" w:type="dxa"/>
              <w:bottom w:w="80" w:type="dxa"/>
              <w:end w:w="110" w:type="dxa"/>
            </w:tcMar>
            <w:vAlign w:val="center"/>
          </w:tcPr>
          <w:p>
            <w:pPr>
              <w:widowControl/>
            </w:pPr>
            <w:r>
              <w:rPr>
                <w:rFonts w:ascii="Calibri" w:hAnsi="Calibri"/>
                <w:b/>
                <w:color w:val="FFFFFF"/>
                <w:sz w:val="13"/>
              </w:rPr>
              <w:t>Location / role</w:t>
            </w:r>
          </w:p>
        </w:tc>
        <w:tc>
          <w:tcPr>
            <w:tcW w:type="dxa" w:w="2750"/>
            <w:shd w:fill="17365D"/>
            <w:tcMar>
              <w:top w:w="80" w:type="dxa"/>
              <w:start w:w="110" w:type="dxa"/>
              <w:bottom w:w="80" w:type="dxa"/>
              <w:end w:w="110" w:type="dxa"/>
            </w:tcMar>
            <w:vAlign w:val="center"/>
          </w:tcPr>
          <w:p>
            <w:pPr>
              <w:widowControl/>
            </w:pPr>
            <w:r>
              <w:rPr>
                <w:rFonts w:ascii="Calibri" w:hAnsi="Calibri"/>
                <w:b/>
                <w:color w:val="FFFFFF"/>
                <w:sz w:val="13"/>
              </w:rPr>
              <w:t>Requirement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IS-CBI-ADV</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CBI_GUIDE Advance notification</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7 — Regulatory notifications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authority expects advance notification of planned ICT arrangements supporting critical or important functions, when a function becomes critical or important, and relevant changes.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IS-CBI-ROI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CBI_GUIDE Register of information</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authority may request the complete register covering all ICT contractual arrangements; it is submitted through the supervisory reporting system and should follow the 2024/2956 templates.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DORA-A16-P1-E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16(1)(e)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identify key dependencies on ICT third-party service providers;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DORA-A16-P3-E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16(3)(e)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specify further the content and format of the report on the review of the ICT risk management framework referred to in paragraph 2.</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manage ICT third-party risk as an integral component of ICT risk within their ICT risk management framework as referred to in Article 6(1), and in accordance with the following principl</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that have in place contractual arrangements for the use of ICT services to run their business operations shall, at all times, remain fully responsible for compliance with, and the discharge 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management of ICT third-party risk shall be implemented in light of the principle of proportionality, taking into account: (i) the nature, scale, complexity and importance of ICT-related dep</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2 — Proportionate internal procedure (voluntary architecture)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As part of their ICT risk management framework, financial entities, other than entities referred to in Article 16(1), first subparagraph, and other than microenterprises, shall adopt, and regularly review, a st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As part of their ICT risk management framework, financial entities shall maintain and update at entity level, and at sub-consolidated and consolidated levels, a register of information in relation to all contra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DORA-A28-P3-6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contractual arrangements referred to in the first subparagraph shall be appropriately documented, distinguishing between those that cover ICT services supporting critical or important functions and those th</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DORA-A28-P3-7</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report at least yearly to the competent authorities on the number of new arrangements on the use of ICT services, the categories of ICT third-party service providers, the type of contra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DORA-A28-P3-8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make available to the competent authority, upon its request, the full register of information or, as requested, specified sections thereof, along with any information deemed necessary 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DORA-A28-P3-9</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inform the competent authority in a timely manner about any planned contractual arrangement on the use of ICT services supporting critical or important functions as well as when a funct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28(4)</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Before entering into a contractual arrangement on the use of ICT services, financial entities shall:</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DORA-A28-P4-A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28(4)(a)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assess whether the contractual arrangement covers the use of ICT services supporting a critical or important function;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DORA-A28-P4-B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28(4)(b)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assess if supervisory conditions for contracting are met;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DORA-A28-P4-C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28(4)(c)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identify and assess all relevant risks in relation to the contractual arrangement, including the possibility that such contractual arrangement may contribute to reinforcing ICT concentration risk as referred to</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DORA-A28-P4-D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28(4)(d)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undertake all due diligence on prospective ICT third-party service providers and ensure throughout the selection and assessment processes that the ICT third-party service provider is suitable;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DORA-A28-P4-E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28(4)(e)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identify and assess conflicts of interest that the contractual arrangement may cause.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28(5)</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may only enter into contractual arrangements with ICT third-party service providers that comply with appropriate information security standards. When those contractual arrangements concern cr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28(6)</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 exercising access, inspection and audit rights over the ICT third-party service provider, financial entities shall, on the basis of a risk-based approach, pre-determine the frequency of audits and inspection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DORA-A28-P6-18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28(6)</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Where contractual arrangements concluded with ICT third-party service providers on the use of ICT services entail high technical complexity, the financial entity shall verify that auditors, whether internal or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DORA-A28-P7</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28(7)</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ensure that contractual arrangements on the use of ICT services may be terminated in any of the following circumstances: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DORA-A28-P7-A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28(7)(a)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significant breach by the ICT third-party service provider of applicable laws, regulations or contractual terms;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DORA-A28-P7-B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28(7)(b)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circumstances identified throughout the monitoring of ICT third-party risk that are deemed capable of altering the performance of the functions provided through the contractual arrangement, including material c</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DORA-A28-P7-C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28(7)(c)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ICT third-party service provider’s evidenced weaknesses pertaining to its overall ICT risk management and in particular in the way it ensures the availability, authenticity, integrity and, confidentiality, of 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DORA-A28-P7-D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28(7)(d)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the competent authority can no longer effectively supervise the financial entity as a result of the conditions of, or circumstances related to, the respective contractual arrangement.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28(8)</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For ICT services supporting critical or important functions, financial entities shall put in place exit strategies. The exit strategies shall take into account risks that may emerge at the level of ICT third-pa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DORA-A28-P8-25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28(8)</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ensure that they are able to exit contractual arrangements without: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DORA-A28-P8-26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28(8)</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Exit plans shall be comprehensive, documented and, in accordance with the criteria set out in Article 4(2), shall be sufficiently tested and reviewed periodically.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DORA-A28-P8-27</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28(8)</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identify alternative solutions and develop transition plans enabling them to remove the contracted ICT services and the relevant data from the ICT third-party service provider and to se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DORA-A28-P8-28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28(8)</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have appropriate contingency measures in place to maintain business continuity in the event of the circumstances referred to in the first subparagraph.</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DORA-A28-P8-A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28(8)(a)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disruption to their business activities,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DORA-A28-P8-B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28(8)(b)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limiting compliance with regulatory requirements,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DORA-A28-P8-C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28(8)(c)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3–10 — Lifecycle management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detriment to the continuity and quality of services provided to clients.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DORA-A29-P1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29(1)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When performing the identification and assessment of risks referred to in Article 28(4), point (c), financial entities shall also take into account whether the envisaged conclusion of a contractual arrangement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DORA-A29-P1-2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29(1)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weigh the benefits and costs of alternative solutions, such as the use of different ICT third-party service providers, taking into account if and how envisaged solutions match the busin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DORA-A29-P1-A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29(1)(a)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contracting an ICT third-party service provider that is not easily substitutable; or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DORA-A29-P1-B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29(1)(b)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having in place multiple contractual arrangements in relation to the provision of ICT services supporting critical or important functions with the same ICT third-party service provider or with closely connected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DORA-A29-P2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29(2)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the contractual arrangements on the use of ICT services supporting critical or important functions include the possibility that an ICT third-party service provider further subcontracts ICT services suppor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DORA-A29-P2-6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29(2)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contractual arrangements concern ICT services supporting critical or important functions, financial entities shall duly consider the insolvency law provisions that would apply in the event of the ICT thir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DORA-A29-P2-7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29(2)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contractual arrangements on the use of ICT services supporting critical or important functions are concluded with an ICT third-party service provider established in a third country, financial entities sha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DORA-A29-P2-8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29(2)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the contractual arrangements on the use of ICT services supporting critical or important functions provide for subcontracting, financial entities shall assess whether and how potentially long or complex c</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rights and obligations of the financial entity and of the ICT third-party service provider shall be clearly allocated and set out in writing. The full contract shall include the service level agreements and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contractual arrangements on the use of ICT services shall include at least the following elements: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30(2)(a)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a clear and complete description of all functions and ICT services to be provided by the ICT third-party service provider, indicating whether subcontracting of an ICT service supporting a critical or important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30(2)(b)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locations, namely the regions or countries, where the contracted or subcontracted functions and ICT services are to be provided and where data is to be processed, including the storage location, and the req</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30(2)(c)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provisions on availability, authenticity, integrity and confidentiality in relation to the protection of data, including personal data;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DORA-A30-P2-D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30(2)(d)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provisions on ensuring access, recovery and return in an easily accessible format of personal and non-personal data processed by the financial entity in the event of the insolvency, resolution or discontinuatio</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DORA-A30-P2-E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30(2)(e)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service level descriptions, including updates and revisions thereof;</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DORA-A30-P2-F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30(2)(f)</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the obligation of the ICT third-party service provider to provide assistance to the financial entity at no additional cost, or at a cost that is determined ex-ante , when an ICT incident that is related to the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DORA-A30-P2-G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30(2)(g)</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obligation of the ICT third-party service provider to fully cooperate with the competent authorities and the resolution authorities of the financial entity, including persons appointed by them;</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DORA-A30-P2-H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30(2)(h)</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termination rights and related minimum notice periods for the termination of the contractual arrangements, in accordance with the expectations of competent authorities and resolution authorities;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DORA-A30-P2-I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30(2)(i)</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conditions for the participation of ICT third-party service providers in the financial entities’ ICT security awareness programmes and digital operational resilience training in accordance with Article 13(6</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contractual arrangements on the use of ICT services supporting critical or important functions shall include, in addition to the elements referred to in paragraph 2, at least the following:</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DORA-A30-P3-13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By way of derogation from point (e), the ICT third-party service provider and the financial entity that is a microenterprise may agree that the financial entity’s rights of access, inspection and audit can be 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DORA-A30-P3-A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30(3)(a)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full service level descriptions, including updates and revisions thereof with precise quantitative and qualitative performance targets within the agreed service levels to allow effective monitoring by the finan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DORA-A30-P3-B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30(3)(b)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notice periods and reporting obligations of the ICT third-party service provider to the financial entity, including notification of any development that might have a material impact on the ICT third-party servi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DORA-A30-P3-C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30(3)(c)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requirements for the ICT third-party service provider to implement and test business contingency plans and to have in place ICT security measures, tools and policies that provide an appropriate level of securit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DORA-A30-P3-D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30(3)(d)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obligation of the ICT third-party service provider to participate and fully cooperate in the financial entity’s TLPT as referred to in Articles 26 and 27;</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DORA-A30-P3-E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30(3)(e)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right to monitor, on an ongoing basis, the ICT third-party service provider’s performance, which entails the following: (i) unrestricted rights of access, inspection and audit by the financial entity, or an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DORA-A30-P3-F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30(3)(f)</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exit strategies, in particular the establishment of a mandatory adequate transition period: (i) during which the ICT third-party service provider will continue providing the respective functions, or ICT service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When negotiating contractual arrangements, financial entities and ICT third-party service providers shall consider the use of standard contractual clauses developed by public authorities for specific services.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30(5)</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ESAs shall, through the Joint Committee, develop draft regulatory technical standards to specify further the elements referred to in paragraph 2, point (a), which a financial entity needs to determine and 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DORA-A30-P5-22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30(5)</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When developing those draft regulatory technical standards, the ESAs shall take into consideration the size and overall risk profile of the financial entity, and the nature, scale and complexity of its services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DORA-A30-P5-23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30(5)</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ESAs shall submit those draft regulatory technical standards to the Commission by 17 July 2024.</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DORA-A30-P5-24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30(5)</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Power is delegated to the Commission to supplement this Regulation by adopting the regulatory technical standards referred to in the first subparagraph in accordance with Articles 10 to 14 of Regulations (EU) 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ITS2956-A02-Part_2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2(art_2)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assign a rank to each ICT third-party service provider. The rank shall be any natural number higher or equal to ‘1’ where the lower the natural number assigned to the rank, the closer 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ITS2956-A02-Part_2-2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2(art_2)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rank of the direct ICT third-party service provider in the ICT service supply chain shall always be ‘1’.</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ITS2956-A02-Part_2-3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2(art_2)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rank of the subcontractor in the ICT service supply chain shall always be higher than ‘1’.</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ITS2956-A03-P1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3(1)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use the templates set out in Annex I to IV to maintain and update the register of information in accordance with Article 28(3) of Regulation (EU) 2022/2554, at entity level, or at sub-c</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ITS2956-A03-P2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3(2)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ensure that the templates referred to in paragraph 1 include all of the following:</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ITS2956-A03-P2-A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3(2)(a)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relevant information in relation to all the ICT services provided by direct ICT third-party providers;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ITS2956-A03-P2-B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3(2)(b)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information on all subcontractors that effectively underpin ICT services supporting critical or important functions or material parts thereof.</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ITS2956-A03-P3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3(3)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Financial entities shall ensure that the information contained in the templates referred to in paragraph 1 is accurate and consistent. Financial entities shall review the information contained in the templates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ITS2956-A03-P3-6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3(3)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 case of groups, financial entities responsible for maintaining and updating the register of information at sub-consolidated and consolidated level shall ensure that information in relation to entity level in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ITS2956-A03-P4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3(4)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ensure that the information contained in the templates referred to in paragraph 1 adhere to the following principles of data quality: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ITS2956-A03-P4-A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3(4)(a)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accuracy;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ITS2956-A03-P4-B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3(4)(b)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completeness;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ITS2956-A03-P4-C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3(4)(c)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consistency;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ITS2956-A03-P4-D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3(4)(d)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integrity;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ITS2956-A03-P4-E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3(4)(e)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uniformity;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ITS2956-A03-P4-F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3(4)(f)</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validity.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ITS2956-A03-P5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3(5)</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Financial entities shall use a valid and active legal entity identifier (LEI) or the European Unique Identifier referred to in Article 16 of Directive (EU) 2017/1132 (‘EUID’), and where available both of these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ITS2956-A03-P6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3(6)</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an ICT service provided by a direct ICT third-party service provider is supporting a critical or important function of the financial entities, financial entities shall ensure through the direct ICT third-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ITS2956-A04-P1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4(1)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Unless otherwise specified in the instructions, each template composing the register of information shall be a table with a predefined number of columns and an indefinite number of rows.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ITS2956-A04-P2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4(2)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complete each data element with a single value. Where more than one value is valid for a specific data element, financial entities shall add an additional row in the corresponding templ</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ITS2956-A04-P3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4(3)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complete all data elements in the register of information at entity level, sub-consolidated and consolidated level, as applicable.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ITS2956-A05-P1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5(1)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include in the register of information, in accordance with the instructions set out in Annex I, the following information: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ITS2956-A05-P1-A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5(1)(a)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general information on the financial entity maintaining and updating the register of information at entity, sub-consolidated and consolidated level, respectively, as specified in template B_01.01 of Annex 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ITS2956-A05-P1-B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5(1)(b)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general information on the entities in the consolidation as specified in template B_01.02 of Annex 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ITS2956-A05-P1-C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5(1)(c)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identification of the branches of financial entities located outside the home country listed in template B_01.02, where applicable, as specified in template B_01.03 of Annex 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ITS2956-A05-P1-D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5(1)(d)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general information on the contractual arrangements as specified in template B_02.01 of Annex 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ITS2956-A05-P1-E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5(1)(e)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specific information on the contractual arrangements as specified in template B_02.02 of Annex 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ITS2956-A05-P1-F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5(1)(f)</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information on the links between intra-group contractual arrangements and contractual arrangements with ICT third-party service providers which are not part of the group using the contractual reference numbers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ITS2956-A05-P1-G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5(1)(g)</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information on the entities signing the contractual arrangements with the direct ICT third-party service providers for receiving ICT services or on behalf of the entities using the ICT services as specified in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ITS2956-A05-P1-H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5(1)(h)</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identification of the ICT third-party service providers signing the contractual arrangements for providing ICT services as specified in template B_03.02 of Annex 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ITS2956-A05-P1-I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5(1)(i)</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identification of the entities signing the contractual arrangements for providing ICT services to other entities in the consolidation as specified in template B_03.03 of Annex 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ITS2956-A05-P1-J</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5(1)(j)</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information on the entities making use of the ICT services provided by the ICT third-party service providers as specified in template B_04.01 of Annex 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ITS2956-A05-P1-K</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5(1)(k)</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information on the direct ICT third-party service providers and subcontractors, as specified in template B_05.01 of Annex 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ITS2956-A05-P1-L</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5(1)(l)</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information on the ICT service supply chain, as specified in template B_05.02 of Annex 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ITS2956-A05-P1-M</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5(1)(m)</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information on the identification of functions as specified in template B_06.01 of Annex 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ITS2956-A05-P1-N</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5(1)(n)</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information on the assessment of the ICT services provided by ICT third-party service providers supporting a critical or important function or material parts thereof as specified in template B_07.01 of Annex 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ITS2956-A05-P1-O</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5(1)(o)</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information on the terminology used by financial entities and the terms included in the closed lists and classification systems used when filling in the templates as specified in template B_99.01 of Annex 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ITS2956-A05-P2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5(2)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relevant for their risk management or contract management purposes, financial entities may include into the register of information additional information in the format that is most appropriate for the pu</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ITS2956-A06-P1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ITS2956 Article 6(1)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 the case of groups, the parent undertakings shall take into account the relevant sectorial Union legislation when determining which entities to be included in the register of information.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ITS2956-A06-P2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ITS2956 Article 6(2)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 register of information maintained and updated at sub-consolidated and consolidated levels shall include all financial entities and ICT intra-group service providers, which are part of the sub-group and group</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RTS1773-A01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 Article 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2–10 — Proportionate lifecycle procedure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policy on the use of ICT services supporting critical or important functions provided by ICT third-party service providers (the ‘policy’) shall take into account the size and the overall risk profile of the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RTS1773-A10</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RTS1773 Article 10</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2–10 — Proportionate lifecycle procedure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policy shall contain requirements for a documented exit plan for each contractual arrangement and for the periodic review and testing of the documented exit plan. When establishing the exit plan, the follow</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RTS1773-A02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 Article 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2–10 — Proportionate lifecycle procedure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Where this Regulation applies on a sub-consolidated or consolidated basis, the parent undertaking that is responsible for providing the consolidated or sub-consolidated financial statements for the group shall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RTS1773-A03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RTS1773 Article 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2–10 — Proportionate lifecycle procedure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management body shall review the policy at least once a year and update it where necessary. Changes made to the policy shall be implemented in a timely manner and as soon as it is possible within the releva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RTS1773-A04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 Article 4</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2–10 — Proportionate lifecycle procedure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The policy shall specify the requirements, including the rules, the responsibilities and the processes, for each main phase of the lifecycle of the contractual arrangement, covering at least the following: the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RTS1773-A05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RTS1773 Article 5</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2–10 — Proportionate lifecycle procedure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policy shall require that the business needs of the financial entity are defined before a contractual arrangement is concluded. The policy shall require that a risk assessment is conducted at financial enti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RTS1773-A06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 Article 6</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2–10 — Proportionate lifecycle procedure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policy shall set out an appropriate and proportionate process for selecting and assessing the prospective ICT third-party service providers taking into account whether or not the ICT third party service pro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RTS1773-A07</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RTS1773 Article 7</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2–10 — Proportionate lifecycle procedure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The policy shall specify the appropriate measures to identify, prevent and manage actual or potential conflicts of interest arising from the use of ICT third-party service providers that are to be taken before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RTS1773-A08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 Article 8</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2–10 — Proportionate lifecycle procedure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policy shall specify that the relevant contractual arrangement are to be in written form and are to include all the elements referred to in Article 30(2) and (3) of Regulation (EU) 2022/2554. The policy sha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RTS1773-A09</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RTS1773 Article 9</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2–10 — Proportionate lifecycle procedure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policy shall require that the contractual arrangements specify the measures and key indicators to monitor, on an ongoing basis, the performance of ICT third party service providers, including measures to mo</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RTS532-A01-Part_1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1(art_1)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take into account their size and their overall risk profile and the nature, scale, and elements of increased or reduced complexity of their services, activities and operations, includin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RTS532-A01-Part_1-A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1(art_1)(a)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type of ICT services that support critical or important functions covered by the contractual arrangement between the financial entity and the ICT third-party service provider;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RTS532-A01-Part_1-B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1(art_1)(b)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type of ICT services covered by the contractual arrangement between the ICT-third party service provider and its subcontractors;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RTS532-A01-Part_1-C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1(art_1)(c)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location of the ICT subcontractor providing ICT services that support critical or important functions or a material part thereof, or of its parent company;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RTS532-A01-Part_1-D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1(art_1)(d)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length and complexity of the chain of subcontractors providing ICT services that support critical or important functions or material parts thereof used by the ICT third-party service provider;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RTS532-A01-Part_1-E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1(art_1)(e)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nature of the data shared with the ICT subcontractors providing ICT services that support critical or important functions or material parts thereof;</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RTS532-A01-Part_1-F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1(art_1)(f)</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whether the ICT services that support critical or important functions or material parts thereof are provided by subcontractors, located within a Member State or in a third country, including the location where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RTS532-A01-Part_1-G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1(art_1)(g)</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whether the ICT subcontractors providing ICT services that support critical or important functions or material parts thereof are part of the same group as the financial entity to which those services are provid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RTS532-A01-Part_1-H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1(art_1)(h)</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whether the ICT subcontractors providing ICT services that support critical or important functions or material parts thereof are authorised, registered or subject to supervision or oversight by a competent auth</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RTS532-A01-Part_1-I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1(art_1)(i)</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whether the ICT third-party service providers that support critical or important functions or material parts thereof are authorised, registered or subject to supervision or oversight by a supervisory authority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RTS532-A01-Part_1-J</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1(art_1)(j)</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whether the provision of ICT services supporting critical or important functions or material parts thereof is concentrated to a single subcontractor of an ICT third-party service provider or a small number of 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RTS532-A01-Part_1-K</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1(art_1)(k)</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whether the subcontracting of ICT services that support critical or important functions or material parts would impact the transferability of those ICT services to another ICT third-party service provider;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RTS532-A01-Part_1-L</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1(art_1)(l)</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potential impact of disruptions on the continuity and availability of the ICT services that support critical or important functions or material parts thereof provided by the ICT third-party service provider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RTS532-A02-Part_2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2(art_2)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Where this Regulation applies on a sub-consolidated or consolidated basis, the parent undertaking that is responsible for providing the consolidated or sub-consolidated financial statements for the group shall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RTS532-A03-P1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3(1)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 financial entity shall, before entering into a contractual arrangement with an ICT third-party service provider, decide whether that ICT third-party service provider may subcontract an ICT service that suppor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RTS532-A03-P1-A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3(1)(a)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due diligence processes on the ICT third-party service provider ensure that it is able to select and assess the operational and financial abilities of potential ICT subcontractors to provide the ICT service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RTS532-A03-P1-B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3(1)(b)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ICT third-party service provider is able to identify all subcontractors that provide ICT services that support critical or important functions or material parts thereof, to notify and inform the financial 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RTS532-A03-P1-C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3(1)(c)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ICT third-party service provider ensures that the contractual arrangements with the subcontractors that provide ICT services that support critical or important functions or material parts thereof enable the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RTS532-A03-P1-D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3(1)(d)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subcontractor grants the financial entity and competent and resolution authorities the same contractual rights of access and inspection as those granted by the ICT third-party service provider;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RTS532-A03-P1-E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3(1)(e)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without prejudice to the financial entity’s final responsibility to comply with its legal and regulatory obligations, the ICT third-party service provider itself has sufficient ability, expertise, and adequate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RTS532-A03-P1-F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3(1)(f)</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entity has sufficient abilities, expertise, and adequate financial, human and technical resources to monitor the ICT risks relating to the service supporting critical or important functions or mat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RTS532-A03-P1-G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3(1)(g)</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entity has assessed the impact on the financial entity’s digital operational resilience and financial soundness of a possible failure of a subcontractor that provides ICT services that support cri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RTS532-A03-P1-H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3(1)(h)</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entity has assessed the risks associated with the location of the potential subcontractors in relation to the ICT services that support critical or important functions or a material part thereof p</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RTS532-A03-P1-I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3(1)(i)</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entity has assessed the ICT concentration risks at entity level in accordance with Article 29 of Regulation (EU) 2022/2554;</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RTS532-A03-P1-J</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3(1)(j)</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the financial entity has assessed whether there are any obstacles to the exercise of audit, inspection and access rights by the competent authorities, resolution authorities, or the financial entity, including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RTS532-A03-P2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3(2)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that use ICT third-party service providers that subcontract ICT services that support critical or important functions or material parts thereof shall periodically carry out the risk assessmen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RTS532-A03-P3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3(3)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Reliance on the results of the risk assessment carried out by their ICT third-party service providers on their subcontractors in complying with the obligations set out in this article shall not limit the final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RTS532-A04-P1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4(1)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contractual arrangement concluded between the financial entity and the ICT third-party service provider shall identify which ICT services that support critical or important functions or material parts there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RTS532-A04-P1-A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4(1)(a)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that the ICT third-party service provider is responsible for the provision of the services provided by the subcontractors;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RTS532-A04-P1-B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4(1)(b)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that the ICT third-party service provider is required to monitor all subcontracted ICT services that support critical or important functions or material parts thereof to ensure that its contractual obligations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RTS532-A04-P1-C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4(1)(c)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monitoring and reporting obligations of the ICT third-party service provider towards the financial entity regarding subcontractors that provide ICT services that support critical or important functions or m</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RTS532-A04-P1-D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4(1)(d)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that the ICT third-party service provider is to assess all risks associated with the location of the current or potential subcontractors that provide ICT service that support critical or important functions or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RTS532-A04-P1-E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4(1)(e)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location of data processed or stored by the subcontractor, where relevant;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RTS532-A04-P1-F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4(1)(f)</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that the ICT third-party service provider is to specify in its contract with its subcontractors the monitoring and reporting obligations of that subcontractor towards the ICT third-party service provider, and w</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RTS532-A04-P1-G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4(1)(g)</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that the ICT third-party service provider is to ensure the continuity of the ICT services that support critical or important functions throughout the chain of subcontractors in case of failure by an ICT subcont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RTS532-A04-P1-H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4(1)(h)</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that the contractual arrangement between the ICT third-party service provider and its subcontractors contains the requirements on business contingency plans referred to in Article 30(3), point (c), of Regulatio</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RTS532-A04-P1-I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4(1)(i)</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that the contractual arrangement between the ICT third-party service provider and its subcontractors specifies the ICT security standards and any additional security requirements referred to in Article 30(3), p</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RTS532-A04-P1-J</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4(1)(j)</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that the subcontractor is to grant to the financial entity and relevant competent and resolution authorities the same rights of access, inspection, and audit as those referred to in Article 30(3), point (e), of</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RTS532-A04-P1-K</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4(1)(k)</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that the ICT third-party service provider is to notify the financial entity of any material change to subcontracting arrangements;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RTS532-A04-P1-L</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4(1)(l)</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that the financial entity has the right to terminate the contract with the ICT third-party service provider when the conditions laid down in either Article 6 of this Regulation or the conditions laid down in Ar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RTS532-A04-P2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4(2)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Changes relative to contractual agreements between the financial entity and ICT third-party service providers that provide an ICT service supporting critical or important functions or material parts thereof, ma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RTS532-A05-P1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5(1)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contractual arrangement shall provide that the ICT third-party service provider shall inform the financial entity about any intended material changes to its subcontracting arrangements well in time to enabl</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RTS532-A05-P1-A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5(1)(a)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impact on the risks it is or might be exposed to;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RTS532-A05-P1-B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5(1)(b)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whether such material changes might affect the ability of the ICT third-party service provider to meet its contractual obligations vis-a-vis the financial entity.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RTS532-A05-P2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5(2)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contractual arrangement shall contain a reasonable notice period by which the financial entity is to approve or object to the changes.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RTS532-A05-P3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5(3)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The ICT third-party service provider shall only implement the material changes to its subcontracting arrangements after the financial entity has either approved or not objected to the changes by the end of the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RTS532-A05-P4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5(4)</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the financial entity is of the opinion that the material changes referred to in paragraph 1 exceed the financial entity’s risk tolerance, the financial entity shall, before the end of the notice period: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RTS532-A05-P4-A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5(4)(a)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inform the ICT third-party service provider thereof;</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RTS532-A05-P4-B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5(4)(b)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object to the changes and request modifications to those changes before they are implemented.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RTS532-A06-Part_6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6(art_6)</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entity shall have the right to provide in the contractual arrangement with the ICT third-party service provider that the contractual arrangement is to terminate in each of the following cases: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RTS532-A06-Part_6-A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6(art_6)(a)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entity has objected to material changes to the subcontracting arrangements supporting critical or important functions and requested for modifications to those arrangements, but the ICT third-party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RTS532-A06-Part_6-B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6(art_6)(b)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ICT third-party service provider has implemented material changes to subcontracting arrangements supporting critical or important functions or material parts thereof before the end of the notice period with</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RTS532-A06-Part_6-C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6(art_6)(c)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the ICT third-party service provider subcontracts an ICT service that supports a critical or important function or material part thereof not explicitly permitted to be subcontracted by the contract between the </w:t>
            </w:r>
          </w:p>
        </w:tc>
      </w:tr>
    </w:tbl>
    <w:p>
      <w:pPr>
        <w:widowControl/>
        <w:spacing w:after="0"/>
      </w:pPr>
    </w:p>
    <w:p>
      <w:pPr>
        <w:pStyle w:val="Heading1"/>
        <w:widowControl/>
      </w:pPr>
      <w:r>
        <w:t>Official source register</w:t>
      </w:r>
    </w:p>
    <w:tbl>
      <w:tblPr>
        <w:tblStyle w:val="TableGrid"/>
        <w:tblW w:type="auto" w:w="0"/>
        <w:jc w:val="center"/>
        <w:tblLayout w:type="fixed"/>
        <w:tblLook w:firstColumn="1" w:firstRow="1" w:lastColumn="0" w:lastRow="0" w:noHBand="0" w:noVBand="1" w:val="04A0"/>
      </w:tblPr>
      <w:tblGrid>
        <w:gridCol w:w="3528"/>
        <w:gridCol w:w="6350"/>
      </w:tblGrid>
      <w:tr>
        <w:trPr>
          <w:tblHeader w:val="true"/>
        </w:trPr>
        <w:tc>
          <w:tcPr>
            <w:tcW w:type="dxa" w:w="3528"/>
            <w:shd w:fill="17365D"/>
            <w:tcMar>
              <w:top w:w="80" w:type="dxa"/>
              <w:start w:w="110" w:type="dxa"/>
              <w:bottom w:w="80" w:type="dxa"/>
              <w:end w:w="110" w:type="dxa"/>
            </w:tcMar>
            <w:vAlign w:val="center"/>
          </w:tcPr>
          <w:p>
            <w:pPr>
              <w:widowControl/>
            </w:pPr>
            <w:r>
              <w:rPr>
                <w:rFonts w:ascii="Calibri" w:hAnsi="Calibri"/>
                <w:b/>
                <w:color w:val="FFFFFF"/>
                <w:sz w:val="15"/>
              </w:rPr>
              <w:t>Source</w:t>
            </w:r>
          </w:p>
        </w:tc>
        <w:tc>
          <w:tcPr>
            <w:tcW w:type="dxa" w:w="6350"/>
            <w:shd w:fill="17365D"/>
            <w:tcMar>
              <w:top w:w="80" w:type="dxa"/>
              <w:start w:w="110" w:type="dxa"/>
              <w:bottom w:w="80" w:type="dxa"/>
              <w:end w:w="110" w:type="dxa"/>
            </w:tcMar>
            <w:vAlign w:val="center"/>
          </w:tcPr>
          <w:p>
            <w:pPr>
              <w:widowControl/>
            </w:pPr>
            <w:r>
              <w:rPr>
                <w:rFonts w:ascii="Calibri" w:hAnsi="Calibri"/>
                <w:b/>
                <w:color w:val="FFFFFF"/>
                <w:sz w:val="15"/>
              </w:rPr>
              <w:t>Official URL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DORA</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https://eur-lex.europa.eu/eli/reg/2022/2554/oj/eng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Simplified ICT-risk RTS 2024/1774</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https://eur-lex.europa.eu/eli/reg_del/2024/1774/oj/eng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classification RTS 2024/1772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https://eur-lex.europa.eu/eli/reg_del/2024/1772/oj/eng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Incident content/timing RTS 2025/301</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https://eur-lex.europa.eu/eli/reg_del/2025/301/oj/eng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forms ITS 2025/302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https://eur-lex.europa.eu/eli/reg_impl/2025/302/oj/eng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Register ITS 2024/2956</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https://eur-lex.europa.eu/eli/reg_impl/2024/2956/oj/eng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Subcontracting RTS 2025/532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https://eur-lex.europa.eu/eli/reg_del/2025/532/oj/eng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Icelandic Act No. 78/2025</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https://www.althingi.is/lagas/nuna/2025078.html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Central Bank Rules No. 310/2026</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https://island.is/stjornartidindi/nr/87da1483-6a2a-412a-9021-30b9a817ad51</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Central Bank DORA guidance</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https://sedlabanki.is/fjarmalaeftirlit/stafraenn-vidnamsthrottur-a-fjarmalamarkadi-dora/</w:t>
            </w:r>
          </w:p>
        </w:tc>
      </w:tr>
    </w:tbl>
    <w:p>
      <w:pPr>
        <w:widowControl/>
        <w:spacing w:after="0"/>
      </w:pPr>
    </w:p>
    <w:sectPr w:rsidR="00FC693F" w:rsidRPr="0006063C" w:rsidSect="00034616">
      <w:headerReference w:type="default" r:id="rId9"/>
      <w:footerReference w:type="default" r:id="rId10"/>
      <w:pgSz w:w="12240" w:h="15840"/>
      <w:pgMar w:top="1037" w:right="1181" w:bottom="979" w:left="1181"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168"/>
      <w:gridCol w:w="3542"/>
      <w:gridCol w:w="3168"/>
    </w:tblGrid>
    <w:tr>
      <w:tc>
        <w:tcPr>
          <w:tcW w:type="dxa" w:w="3168"/>
          <w:tcMar>
            <w:top w:w="40" w:type="dxa"/>
            <w:start w:w="0" w:type="dxa"/>
            <w:bottom w:w="0" w:type="dxa"/>
            <w:end w:w="0" w:type="dxa"/>
          </w:tcMar>
        </w:tcPr>
        <w:p>
          <w:r>
            <w:rPr>
              <w:rFonts w:ascii="Calibri" w:hAnsi="Calibri"/>
              <w:b w:val="0"/>
              <w:color w:val="667085"/>
              <w:sz w:val="15"/>
            </w:rPr>
            <w:t>[FIRM NAME]</w:t>
          </w:r>
        </w:p>
      </w:tc>
      <w:tc>
        <w:tcPr>
          <w:tcW w:type="dxa" w:w="3542"/>
          <w:tcMar>
            <w:top w:w="40" w:type="dxa"/>
            <w:start w:w="0" w:type="dxa"/>
            <w:bottom w:w="0" w:type="dxa"/>
            <w:end w:w="0" w:type="dxa"/>
          </w:tcMar>
        </w:tcPr>
        <w:p>
          <w:pPr>
            <w:jc w:val="center"/>
          </w:pPr>
          <w:r>
            <w:rPr>
              <w:rFonts w:ascii="Calibri" w:hAnsi="Calibri"/>
              <w:b w:val="0"/>
              <w:color w:val="667085"/>
              <w:sz w:val="15"/>
            </w:rPr>
            <w:t>CONFIDENTIAL — CONTROLLED TEMPLATE</w:t>
          </w:r>
        </w:p>
      </w:tc>
      <w:tc>
        <w:tcPr>
          <w:tcW w:type="dxa" w:w="3168"/>
          <w:tcMar>
            <w:top w:w="40" w:type="dxa"/>
            <w:start w:w="0" w:type="dxa"/>
            <w:bottom w:w="0" w:type="dxa"/>
            <w:end w:w="0" w:type="dxa"/>
          </w:tcMar>
        </w:tcPr>
        <w:p>
          <w:pPr>
            <w:jc w:val="right"/>
          </w:pPr>
          <w:r>
            <w:rPr>
              <w:rFonts w:ascii="Calibri" w:hAnsi="Calibri"/>
              <w:b w:val="0"/>
              <w:color w:val="667085"/>
              <w:sz w:val="15"/>
            </w:rPr>
            <w:t xml:space="preserve">Page </w:t>
          </w:r>
          <w:r>
            <w:fldChar w:fldCharType="begin"/>
            <w:instrText xml:space="preserve">PAGE</w:instrText>
            <w:fldChar w:fldCharType="end"/>
          </w:r>
          <w:r>
            <w:rPr>
              <w:rFonts w:ascii="Calibri" w:hAnsi="Calibri"/>
              <w:b w:val="0"/>
              <w:color w:val="667085"/>
              <w:sz w:val="15"/>
            </w:rPr>
            <w:t xml:space="preserve"> of </w:t>
          </w:r>
          <w:r>
            <w:fldChar w:fldCharType="begin"/>
            <w:instrText xml:space="preserve">NUMPAGES</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color w:val="667085"/>
        <w:sz w:val="15"/>
      </w:rPr>
      <w:t>D09  |  ICT THIRD-PARTY RISK MANAGEMENT PROCEDURE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Calibri" w:hAnsi="Calibri"/>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F4D7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60"/>
      <w:ind w:left="461" w:hanging="259"/>
      <w:contextualSpacing/>
    </w:pPr>
    <w:rPr>
      <w:rFonts w:ascii="Calibri" w:hAnsi="Calibri"/>
      <w:sz w:val="20"/>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60"/>
      <w:ind w:left="461" w:hanging="259"/>
      <w:contextualSpacing/>
    </w:pPr>
    <w:rPr>
      <w:rFonts w:ascii="Calibri" w:hAnsi="Calibri"/>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raftingNote">
    <w:name w:val="Drafting Note"/>
    <w:pPr>
      <w:spacing w:after="80"/>
    </w:pPr>
    <w:rPr>
      <w:rFonts w:ascii="Calibri" w:hAnsi="Calibri"/>
      <w:i/>
      <w:color w:val="667085"/>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ICT Third-Party Risk Management Procedure</dc:title>
  <dc:subject>Reusable internal template for an SNI investment firm</dc:subject>
  <dc:creator>DORA SNI Documentation &amp; Implementation Suite v1.0</dc:creator>
  <cp:keywords/>
  <dc:description>generated by python-docx</dc:description>
  <cp:lastModifiedBy/>
  <cp:revision>1</cp:revision>
  <dcterms:created xsi:type="dcterms:W3CDTF">2013-12-23T23:15:00Z</dcterms:created>
  <dcterms:modified xsi:type="dcterms:W3CDTF">2013-12-23T23:15:00Z</dcterms:modified>
  <cp:category/>
</cp:coreProperties>
</file>