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720"/>
      </w:pPr>
    </w:p>
    <w:p>
      <w:pPr>
        <w:widowControl/>
        <w:spacing w:after="240"/>
      </w:pPr>
      <w:r>
        <w:rPr>
          <w:rFonts w:ascii="Calibri" w:hAnsi="Calibri"/>
          <w:b/>
          <w:color w:val="0F6B78"/>
          <w:sz w:val="34"/>
        </w:rPr>
        <w:t>D08</w:t>
      </w:r>
    </w:p>
    <w:p>
      <w:pPr>
        <w:widowControl/>
        <w:spacing w:after="240" w:line="235" w:lineRule="auto"/>
      </w:pPr>
      <w:r>
        <w:rPr>
          <w:rFonts w:ascii="Calibri" w:hAnsi="Calibri"/>
          <w:b/>
          <w:color w:val="17365D"/>
          <w:sz w:val="54"/>
        </w:rPr>
        <w:t>Digital Operational Resilience Testing Programme &amp; Reports</w:t>
      </w:r>
    </w:p>
    <w:p>
      <w:pPr>
        <w:widowControl/>
        <w:spacing w:after="560"/>
      </w:pPr>
      <w:r>
        <w:rPr>
          <w:rFonts w:ascii="Calibri" w:hAnsi="Calibri"/>
          <w:b/>
          <w:color w:val="FFFFFF"/>
          <w:sz w:val="20"/>
          <w:shd w:fill="0F6B78"/>
        </w:rPr>
        <w:t>TESTING PROGRAMME &amp; REPORT TEMPLATES</w:t>
      </w:r>
    </w:p>
    <w:tbl>
      <w:tblPr>
        <w:tblW w:type="auto" w:w="0"/>
        <w:jc w:val="left"/>
        <w:tblLayout w:type="fixed"/>
        <w:tblLook w:firstColumn="1" w:firstRow="1" w:lastColumn="0" w:lastRow="0" w:noHBand="0" w:noVBand="1" w:val="04A0"/>
      </w:tblPr>
      <w:tblGrid>
        <w:gridCol w:w="2448"/>
        <w:gridCol w:w="7430"/>
      </w:tblGrid>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ENTITY</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[ENTITY LEGAL NAME]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OWNER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[ROLE / FUNCTION]</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APPROVER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[BOARD / MANAGEMENT BODY / EXECUTIVE]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VERSION</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[1.0]</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EFFECTIVE DATE</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NEXT REVIEW</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bl>
    <w:p>
      <w:pPr>
        <w:widowControl/>
        <w:spacing w:after="280"/>
      </w:pPr>
    </w:p>
    <w:tbl>
      <w:tblPr>
        <w:tblW w:type="auto" w:w="0"/>
        <w:jc w:val="center"/>
        <w:tblLayout w:type="fixed"/>
        <w:tblLook w:firstColumn="1" w:firstRow="1" w:lastColumn="0" w:lastRow="0" w:noHBand="0" w:noVBand="1" w:val="04A0"/>
      </w:tblPr>
      <w:tblGrid>
        <w:gridCol w:w="158"/>
        <w:gridCol w:w="9720"/>
      </w:tblGrid>
      <w:t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TEMPLATE STATUS</w:t>
            </w:r>
            <w:r>
              <w:rPr>
                <w:rFonts w:ascii="Calibri" w:hAnsi="Calibri"/>
              </w:rPr>
              <w:br/>
              <w:t>Complete and validate every yellow-bracketed field. Delete drafting notes before approval. Technical controls, inventories, provider facts, tests and audit conclusions must not be assumed or invented.</w:t>
            </w:r>
          </w:p>
        </w:tc>
      </w:tr>
    </w:tbl>
    <w:p>
      <w:pPr>
        <w:widowControl/>
        <w:spacing w:after="0"/>
      </w:pPr>
    </w:p>
    <w:p>
      <w:pPr>
        <w:widowControl/>
      </w:pPr>
      <w:r>
        <w:br w:type="page"/>
      </w:r>
    </w:p>
    <w:p>
      <w:pPr>
        <w:pStyle w:val="Heading1"/>
        <w:widowControl/>
      </w:pPr>
      <w:r>
        <w:t>Document control and approval</w:t>
      </w:r>
    </w:p>
    <w:tbl>
      <w:tblPr>
        <w:tblStyle w:val="TableGrid"/>
        <w:tblW w:type="auto" w:w="0"/>
        <w:jc w:val="center"/>
        <w:tblLayout w:type="fixed"/>
        <w:tblLook w:firstColumn="1" w:firstRow="1" w:lastColumn="0" w:lastRow="0" w:noHBand="0" w:noVBand="1" w:val="04A0"/>
      </w:tblPr>
      <w:tblGrid>
        <w:gridCol w:w="2520"/>
        <w:gridCol w:w="7358"/>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7"/>
              </w:rPr>
              <w:t>Field</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7"/>
              </w:rPr>
              <w:t>Controlled value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Document ID</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D08</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Document title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Digital Operational Resilience Testing Programme &amp; Reports</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Owner</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[Testing Programme Owner]</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Approval authority</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Management body / delegated executive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Version</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[1.0]</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Effective date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[DD MONTH YYYY]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Review cycle</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Annual programme; individual tests per schedule</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Classification</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Confidential — Internal</w:t>
            </w:r>
          </w:p>
        </w:tc>
      </w:tr>
    </w:tbl>
    <w:p>
      <w:pPr>
        <w:widowControl/>
        <w:spacing w:after="0"/>
      </w:pPr>
    </w:p>
    <w:p>
      <w:pPr>
        <w:pStyle w:val="Heading2"/>
        <w:widowControl/>
      </w:pPr>
      <w:r>
        <w:t>Approval record</w:t>
      </w:r>
    </w:p>
    <w:tbl>
      <w:tblPr>
        <w:tblStyle w:val="TableGrid"/>
        <w:tblW w:type="auto" w:w="0"/>
        <w:jc w:val="center"/>
        <w:tblLayout w:type="fixed"/>
        <w:tblLook w:firstColumn="1" w:firstRow="1" w:lastColumn="0" w:lastRow="0" w:noHBand="0" w:noVBand="1" w:val="04A0"/>
      </w:tblPr>
      <w:tblGrid>
        <w:gridCol w:w="2880"/>
        <w:gridCol w:w="2376"/>
        <w:gridCol w:w="3024"/>
        <w:gridCol w:w="1598"/>
      </w:tblGrid>
      <w:tr>
        <w:trPr>
          <w:tblHeader w:val="true"/>
        </w:trPr>
        <w:tc>
          <w:tcPr>
            <w:tcW w:type="dxa" w:w="2880"/>
            <w:shd w:fill="17365D"/>
            <w:tcMar>
              <w:top w:w="80" w:type="dxa"/>
              <w:start w:w="110" w:type="dxa"/>
              <w:bottom w:w="80" w:type="dxa"/>
              <w:end w:w="110" w:type="dxa"/>
            </w:tcMar>
            <w:vAlign w:val="center"/>
          </w:tcPr>
          <w:p>
            <w:pPr>
              <w:widowControl/>
            </w:pPr>
            <w:r>
              <w:rPr>
                <w:rFonts w:ascii="Calibri" w:hAnsi="Calibri"/>
                <w:b/>
                <w:color w:val="FFFFFF"/>
                <w:sz w:val="16"/>
              </w:rPr>
              <w:t>Approver</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Capacity</w:t>
            </w:r>
          </w:p>
        </w:tc>
        <w:tc>
          <w:tcPr>
            <w:tcW w:type="dxa" w:w="3024"/>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1598"/>
            <w:shd w:fill="17365D"/>
            <w:tcMar>
              <w:top w:w="80" w:type="dxa"/>
              <w:start w:w="110" w:type="dxa"/>
              <w:bottom w:w="80" w:type="dxa"/>
              <w:end w:w="110" w:type="dxa"/>
            </w:tcMar>
            <w:vAlign w:val="center"/>
          </w:tcPr>
          <w:p>
            <w:pPr>
              <w:widowControl/>
            </w:pPr>
            <w:r>
              <w:rPr>
                <w:rFonts w:ascii="Calibri" w:hAnsi="Calibri"/>
                <w:b/>
                <w:color w:val="FFFFFF"/>
                <w:sz w:val="16"/>
              </w:rPr>
              <w:t>Date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bl>
    <w:p>
      <w:pPr>
        <w:widowControl/>
        <w:spacing w:after="0"/>
      </w:pPr>
    </w:p>
    <w:p>
      <w:pPr>
        <w:pStyle w:val="Heading2"/>
        <w:widowControl/>
      </w:pPr>
      <w:r>
        <w:t>Version history</w:t>
      </w:r>
    </w:p>
    <w:tbl>
      <w:tblPr>
        <w:tblStyle w:val="TableGrid"/>
        <w:tblW w:type="auto" w:w="0"/>
        <w:jc w:val="center"/>
        <w:tblLayout w:type="fixed"/>
        <w:tblLook w:firstColumn="1" w:firstRow="1" w:lastColumn="0" w:lastRow="0" w:noHBand="0" w:noVBand="1" w:val="04A0"/>
      </w:tblPr>
      <w:tblGrid>
        <w:gridCol w:w="1080"/>
        <w:gridCol w:w="1440"/>
        <w:gridCol w:w="5256"/>
        <w:gridCol w:w="2102"/>
      </w:tblGrid>
      <w:tr>
        <w:trPr>
          <w:tblHeader w:val="true"/>
        </w:trPr>
        <w:tc>
          <w:tcPr>
            <w:tcW w:type="dxa" w:w="1080"/>
            <w:shd w:fill="17365D"/>
            <w:tcMar>
              <w:top w:w="80" w:type="dxa"/>
              <w:start w:w="110" w:type="dxa"/>
              <w:bottom w:w="80" w:type="dxa"/>
              <w:end w:w="110" w:type="dxa"/>
            </w:tcMar>
            <w:vAlign w:val="center"/>
          </w:tcPr>
          <w:p>
            <w:pPr>
              <w:widowControl/>
            </w:pPr>
            <w:r>
              <w:rPr>
                <w:rFonts w:ascii="Calibri" w:hAnsi="Calibri"/>
                <w:b/>
                <w:color w:val="FFFFFF"/>
                <w:sz w:val="16"/>
              </w:rPr>
              <w:t>Version</w:t>
            </w:r>
          </w:p>
        </w:tc>
        <w:tc>
          <w:tcPr>
            <w:tcW w:type="dxa" w:w="1440"/>
            <w:shd w:fill="17365D"/>
            <w:tcMar>
              <w:top w:w="80" w:type="dxa"/>
              <w:start w:w="110" w:type="dxa"/>
              <w:bottom w:w="80" w:type="dxa"/>
              <w:end w:w="110" w:type="dxa"/>
            </w:tcMar>
            <w:vAlign w:val="center"/>
          </w:tcPr>
          <w:p>
            <w:pPr>
              <w:widowControl/>
            </w:pPr>
            <w:r>
              <w:rPr>
                <w:rFonts w:ascii="Calibri" w:hAnsi="Calibri"/>
                <w:b/>
                <w:color w:val="FFFFFF"/>
                <w:sz w:val="16"/>
              </w:rPr>
              <w:t>Date</w:t>
            </w:r>
          </w:p>
        </w:tc>
        <w:tc>
          <w:tcPr>
            <w:tcW w:type="dxa" w:w="5256"/>
            <w:shd w:fill="17365D"/>
            <w:tcMar>
              <w:top w:w="80" w:type="dxa"/>
              <w:start w:w="110" w:type="dxa"/>
              <w:bottom w:w="80" w:type="dxa"/>
              <w:end w:w="110" w:type="dxa"/>
            </w:tcMar>
            <w:vAlign w:val="center"/>
          </w:tcPr>
          <w:p>
            <w:pPr>
              <w:widowControl/>
            </w:pPr>
            <w:r>
              <w:rPr>
                <w:rFonts w:ascii="Calibri" w:hAnsi="Calibri"/>
                <w:b/>
                <w:color w:val="FFFFFF"/>
                <w:sz w:val="16"/>
              </w:rPr>
              <w:t>Change</w:t>
            </w:r>
          </w:p>
        </w:tc>
        <w:tc>
          <w:tcPr>
            <w:tcW w:type="dxa" w:w="2102"/>
            <w:shd w:fill="17365D"/>
            <w:tcMar>
              <w:top w:w="80" w:type="dxa"/>
              <w:start w:w="110" w:type="dxa"/>
              <w:bottom w:w="80" w:type="dxa"/>
              <w:end w:w="110" w:type="dxa"/>
            </w:tcMar>
            <w:vAlign w:val="center"/>
          </w:tcPr>
          <w:p>
            <w:pPr>
              <w:widowControl/>
            </w:pPr>
            <w:r>
              <w:rPr>
                <w:rFonts w:ascii="Calibri" w:hAnsi="Calibri"/>
                <w:b/>
                <w:color w:val="FFFFFF"/>
                <w:sz w:val="16"/>
              </w:rPr>
              <w:t>Author</w:t>
            </w:r>
          </w:p>
        </w:tc>
      </w:tr>
      <w:tr>
        <w:trPr>
          <w:cantSplit/>
        </w:trPr>
        <w:tc>
          <w:tcPr>
            <w:tcW w:type="dxa" w:w="1080"/>
            <w:tcMar>
              <w:top w:w="80" w:type="dxa"/>
              <w:start w:w="110" w:type="dxa"/>
              <w:bottom w:w="80" w:type="dxa"/>
              <w:end w:w="110" w:type="dxa"/>
            </w:tcMar>
            <w:vAlign w:val="center"/>
          </w:tcPr>
          <w:p>
            <w:pPr>
              <w:widowControl/>
              <w:spacing w:after="0"/>
            </w:pPr>
            <w:r>
              <w:rPr>
                <w:rFonts w:ascii="Calibri" w:hAnsi="Calibri"/>
                <w:b w:val="0"/>
                <w:color w:val="1F2937"/>
                <w:sz w:val="16"/>
              </w:rPr>
              <w:t>0.1</w:t>
            </w:r>
          </w:p>
        </w:tc>
        <w:tc>
          <w:tcPr>
            <w:tcW w:type="dxa" w:w="1440"/>
            <w:tcMar>
              <w:top w:w="80" w:type="dxa"/>
              <w:start w:w="110" w:type="dxa"/>
              <w:bottom w:w="80" w:type="dxa"/>
              <w:end w:w="110" w:type="dxa"/>
            </w:tcMar>
            <w:vAlign w:val="center"/>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tcPr>
          <w:p>
            <w:pPr>
              <w:widowControl/>
              <w:spacing w:after="0"/>
            </w:pPr>
            <w:r>
              <w:rPr>
                <w:rFonts w:ascii="Calibri" w:hAnsi="Calibri"/>
                <w:b w:val="0"/>
                <w:color w:val="1F2937"/>
                <w:sz w:val="16"/>
              </w:rPr>
              <w:t>Initial template tailoring</w:t>
            </w:r>
          </w:p>
        </w:tc>
        <w:tc>
          <w:tcPr>
            <w:tcW w:type="dxa" w:w="2102"/>
            <w:tcMar>
              <w:top w:w="80" w:type="dxa"/>
              <w:start w:w="110" w:type="dxa"/>
              <w:bottom w:w="80" w:type="dxa"/>
              <w:end w:w="110" w:type="dxa"/>
            </w:tcMar>
            <w:vAlign w:val="center"/>
          </w:tcPr>
          <w:p>
            <w:pPr>
              <w:widowControl/>
              <w:spacing w:after="0"/>
            </w:pPr>
            <w:r>
              <w:rPr>
                <w:rFonts w:ascii="Calibri" w:hAnsi="Calibri"/>
                <w:b w:val="0"/>
                <w:color w:val="1F2937"/>
                <w:sz w:val="16"/>
              </w:rPr>
              <w:t>[NAME]</w:t>
            </w:r>
          </w:p>
        </w:tc>
      </w:tr>
      <w:tr>
        <w:trPr>
          <w:cantSplit/>
        </w:trPr>
        <w:tc>
          <w:tcPr>
            <w:tcW w:type="dxa" w:w="1080"/>
            <w:tcMar>
              <w:top w:w="80" w:type="dxa"/>
              <w:start w:w="110" w:type="dxa"/>
              <w:bottom w:w="80" w:type="dxa"/>
              <w:end w:w="110" w:type="dxa"/>
            </w:tcMar>
            <w:vAlign w:val="center"/>
            <w:shd w:fill="F8FAFC"/>
          </w:tcPr>
          <w:p>
            <w:pPr>
              <w:widowControl/>
              <w:spacing w:after="0"/>
            </w:pPr>
            <w:r>
              <w:rPr>
                <w:rFonts w:ascii="Calibri" w:hAnsi="Calibri"/>
                <w:b w:val="0"/>
                <w:color w:val="1F2937"/>
                <w:sz w:val="16"/>
              </w:rPr>
              <w:t>1.0</w:t>
            </w:r>
          </w:p>
        </w:tc>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shd w:fill="F8FAFC"/>
          </w:tcPr>
          <w:p>
            <w:pPr>
              <w:widowControl/>
              <w:spacing w:after="0"/>
            </w:pPr>
            <w:r>
              <w:rPr>
                <w:rFonts w:ascii="Calibri" w:hAnsi="Calibri"/>
                <w:b w:val="0"/>
                <w:color w:val="1F2937"/>
                <w:sz w:val="16"/>
              </w:rPr>
              <w:t>First approved version</w:t>
            </w:r>
          </w:p>
        </w:tc>
        <w:tc>
          <w:tcPr>
            <w:tcW w:type="dxa" w:w="2102"/>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r>
    </w:tbl>
    <w:p>
      <w:pPr>
        <w:widowControl/>
        <w:spacing w:after="0"/>
      </w:pPr>
    </w:p>
    <w:p>
      <w:pPr>
        <w:pStyle w:val="Heading1"/>
        <w:widowControl/>
      </w:pPr>
      <w:r>
        <w:t>Definitions and interpretation</w:t>
      </w:r>
    </w:p>
    <w:tbl>
      <w:tblPr>
        <w:tblStyle w:val="TableGrid"/>
        <w:tblW w:type="auto" w:w="0"/>
        <w:jc w:val="center"/>
        <w:tblLayout w:type="fixed"/>
        <w:tblLook w:firstColumn="1" w:firstRow="1" w:lastColumn="0" w:lastRow="0" w:noHBand="0" w:noVBand="1" w:val="04A0"/>
      </w:tblPr>
      <w:tblGrid>
        <w:gridCol w:w="2736"/>
        <w:gridCol w:w="7142"/>
      </w:tblGrid>
      <w:tr>
        <w:trPr>
          <w:tblHeader w:val="true"/>
        </w:trPr>
        <w:tc>
          <w:tcPr>
            <w:tcW w:type="dxa" w:w="2736"/>
            <w:shd w:fill="17365D"/>
            <w:tcMar>
              <w:top w:w="80" w:type="dxa"/>
              <w:start w:w="110" w:type="dxa"/>
              <w:bottom w:w="80" w:type="dxa"/>
              <w:end w:w="110" w:type="dxa"/>
            </w:tcMar>
            <w:vAlign w:val="center"/>
          </w:tcPr>
          <w:p>
            <w:pPr>
              <w:widowControl/>
            </w:pPr>
            <w:r>
              <w:rPr>
                <w:rFonts w:ascii="Calibri" w:hAnsi="Calibri"/>
                <w:b/>
                <w:color w:val="FFFFFF"/>
                <w:sz w:val="16"/>
              </w:rPr>
              <w:t>Term</w:t>
            </w:r>
          </w:p>
        </w:tc>
        <w:tc>
          <w:tcPr>
            <w:tcW w:type="dxa" w:w="7142"/>
            <w:shd w:fill="17365D"/>
            <w:tcMar>
              <w:top w:w="80" w:type="dxa"/>
              <w:start w:w="110" w:type="dxa"/>
              <w:bottom w:w="80" w:type="dxa"/>
              <w:end w:w="110" w:type="dxa"/>
            </w:tcMar>
            <w:vAlign w:val="center"/>
          </w:tcPr>
          <w:p>
            <w:pPr>
              <w:widowControl/>
            </w:pPr>
            <w:r>
              <w:rPr>
                <w:rFonts w:ascii="Calibri" w:hAnsi="Calibri"/>
                <w:b/>
                <w:color w:val="FFFFFF"/>
                <w:sz w:val="16"/>
              </w:rPr>
              <w:t>Meaning</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Critical or important function</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function whose disruption would materially impair financial performance, soundness, continuity of services or compliance with authorisation conditions or financial-services law.</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DORA</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Regulation (EU) 2022/2554 as incorporated into the EEA Agreement and given force in Iceland by Act No. 78/2025.</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ICT asset</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software or hardware asset in network and information systems used by the firm.</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ICT risk</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A reasonably identifiable circumstance relating to network and information systems that may compromise security, operations or services.</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Management body</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The board of directors or other body performing management-body responsibilities.</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Test owner</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Person accountable for scope, safe execution and report.</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Retest</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test confirming that a corrective action operates effectively.</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TLPT</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Threat-led penetration testing under DORA Articles 26–27 and RTS 2025/1190.</w:t>
            </w:r>
          </w:p>
        </w:tc>
      </w:tr>
    </w:tbl>
    <w:p>
      <w:pPr>
        <w:widowControl/>
        <w:spacing w:after="0"/>
      </w:pPr>
    </w:p>
    <w:p>
      <w:pPr>
        <w:pStyle w:val="Heading1"/>
        <w:widowControl/>
      </w:pPr>
      <w:r>
        <w:t>1. Objective and governance</w:t>
      </w:r>
    </w:p>
    <w:p>
      <w:pPr>
        <w:widowControl/>
      </w:pPr>
      <w:r>
        <w:t>The firm shall maintain a proportionate, risk-based digital operational resilience testing programme covering the ICT systems and applications supporting its activities. Tests validate design and operation; they do not merely confirm that procedures exist. The management body receives material failures, overdue remediation and annual programme conclusions.</w:t>
      </w:r>
    </w:p>
    <w:p>
      <w:pPr>
        <w:pStyle w:val="Heading1"/>
        <w:widowControl/>
      </w:pPr>
      <w:r>
        <w:t>2. Risk-based test planning</w:t>
      </w:r>
    </w:p>
    <w:p>
      <w:pPr>
        <w:pStyle w:val="ListBullet"/>
        <w:widowControl/>
        <w:ind w:left="461"/>
      </w:pPr>
      <w:r>
        <w:t>criticality of the function, asset and provider;</w:t>
      </w:r>
    </w:p>
    <w:p>
      <w:pPr>
        <w:pStyle w:val="ListBullet"/>
        <w:widowControl/>
        <w:ind w:left="461"/>
      </w:pPr>
      <w:r>
        <w:t>threats, vulnerabilities and changes;</w:t>
      </w:r>
    </w:p>
    <w:p>
      <w:pPr>
        <w:pStyle w:val="ListBullet"/>
        <w:widowControl/>
        <w:ind w:left="461"/>
      </w:pPr>
      <w:r>
        <w:t>incident, near-miss, audit and prior-test history;</w:t>
      </w:r>
    </w:p>
    <w:p>
      <w:pPr>
        <w:pStyle w:val="ListBullet"/>
        <w:widowControl/>
        <w:ind w:left="461"/>
      </w:pPr>
      <w:r>
        <w:t>data sensitivity, external exposure and privileged access;</w:t>
      </w:r>
    </w:p>
    <w:p>
      <w:pPr>
        <w:pStyle w:val="ListBullet"/>
        <w:widowControl/>
        <w:ind w:left="461"/>
      </w:pPr>
      <w:r>
        <w:t>recovery objectives and provider dependencies;</w:t>
      </w:r>
    </w:p>
    <w:p>
      <w:pPr>
        <w:pStyle w:val="ListBullet"/>
        <w:widowControl/>
        <w:ind w:left="461"/>
      </w:pPr>
      <w:r>
        <w:t>regulatory, contractual and client consequences;</w:t>
      </w:r>
    </w:p>
    <w:p>
      <w:pPr>
        <w:pStyle w:val="ListBullet"/>
        <w:widowControl/>
        <w:ind w:left="461"/>
      </w:pPr>
      <w:r>
        <w:t>independence and competence required for credible results.</w:t>
      </w:r>
    </w:p>
    <w:p>
      <w:pPr>
        <w:pStyle w:val="Heading1"/>
        <w:widowControl/>
      </w:pPr>
      <w:r>
        <w:t>3. Minimum test catalogue</w:t>
      </w:r>
    </w:p>
    <w:tbl>
      <w:tblPr>
        <w:tblStyle w:val="TableGrid"/>
        <w:tblW w:type="auto" w:w="0"/>
        <w:jc w:val="center"/>
        <w:tblLayout w:type="fixed"/>
        <w:tblLook w:firstColumn="1" w:firstRow="1" w:lastColumn="0" w:lastRow="0" w:noHBand="0" w:noVBand="1" w:val="04A0"/>
      </w:tblPr>
      <w:tblGrid>
        <w:gridCol w:w="2232"/>
        <w:gridCol w:w="2088"/>
        <w:gridCol w:w="3888"/>
        <w:gridCol w:w="1670"/>
      </w:tblGrid>
      <w:tr>
        <w:trPr>
          <w:tblHeader w:val="true"/>
        </w:trPr>
        <w:tc>
          <w:tcPr>
            <w:tcW w:type="dxa" w:w="2232"/>
            <w:shd w:fill="17365D"/>
            <w:tcMar>
              <w:top w:w="80" w:type="dxa"/>
              <w:start w:w="110" w:type="dxa"/>
              <w:bottom w:w="80" w:type="dxa"/>
              <w:end w:w="110" w:type="dxa"/>
            </w:tcMar>
            <w:vAlign w:val="center"/>
          </w:tcPr>
          <w:p>
            <w:pPr>
              <w:widowControl/>
            </w:pPr>
            <w:r>
              <w:rPr>
                <w:rFonts w:ascii="Calibri" w:hAnsi="Calibri"/>
                <w:b/>
                <w:color w:val="FFFFFF"/>
                <w:sz w:val="14"/>
              </w:rPr>
              <w:t>Test</w:t>
            </w:r>
          </w:p>
        </w:tc>
        <w:tc>
          <w:tcPr>
            <w:tcW w:type="dxa" w:w="2088"/>
            <w:shd w:fill="17365D"/>
            <w:tcMar>
              <w:top w:w="80" w:type="dxa"/>
              <w:start w:w="110" w:type="dxa"/>
              <w:bottom w:w="80" w:type="dxa"/>
              <w:end w:w="110" w:type="dxa"/>
            </w:tcMar>
            <w:vAlign w:val="center"/>
          </w:tcPr>
          <w:p>
            <w:pPr>
              <w:widowControl/>
            </w:pPr>
            <w:r>
              <w:rPr>
                <w:rFonts w:ascii="Calibri" w:hAnsi="Calibri"/>
                <w:b/>
                <w:color w:val="FFFFFF"/>
                <w:sz w:val="14"/>
              </w:rPr>
              <w:t>Indicative frequency</w:t>
            </w:r>
          </w:p>
        </w:tc>
        <w:tc>
          <w:tcPr>
            <w:tcW w:type="dxa" w:w="3888"/>
            <w:shd w:fill="17365D"/>
            <w:tcMar>
              <w:top w:w="80" w:type="dxa"/>
              <w:start w:w="110" w:type="dxa"/>
              <w:bottom w:w="80" w:type="dxa"/>
              <w:end w:w="110" w:type="dxa"/>
            </w:tcMar>
            <w:vAlign w:val="center"/>
          </w:tcPr>
          <w:p>
            <w:pPr>
              <w:widowControl/>
            </w:pPr>
            <w:r>
              <w:rPr>
                <w:rFonts w:ascii="Calibri" w:hAnsi="Calibri"/>
                <w:b/>
                <w:color w:val="FFFFFF"/>
                <w:sz w:val="14"/>
              </w:rPr>
              <w:t>Scope</w:t>
            </w:r>
          </w:p>
        </w:tc>
        <w:tc>
          <w:tcPr>
            <w:tcW w:type="dxa" w:w="1670"/>
            <w:shd w:fill="17365D"/>
            <w:tcMar>
              <w:top w:w="80" w:type="dxa"/>
              <w:start w:w="110" w:type="dxa"/>
              <w:bottom w:w="80" w:type="dxa"/>
              <w:end w:w="110" w:type="dxa"/>
            </w:tcMar>
            <w:vAlign w:val="center"/>
          </w:tcPr>
          <w:p>
            <w:pPr>
              <w:widowControl/>
            </w:pPr>
            <w:r>
              <w:rPr>
                <w:rFonts w:ascii="Calibri" w:hAnsi="Calibri"/>
                <w:b/>
                <w:color w:val="FFFFFF"/>
                <w:sz w:val="14"/>
              </w:rPr>
              <w:t>Evidence</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4"/>
              </w:rPr>
              <w:t>Continuity tabletop</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At least annually and after material plan change</w:t>
            </w:r>
          </w:p>
        </w:tc>
        <w:tc>
          <w:tcPr>
            <w:tcW w:type="dxa" w:w="3888"/>
            <w:tcMar>
              <w:top w:w="80" w:type="dxa"/>
              <w:start w:w="110" w:type="dxa"/>
              <w:bottom w:w="80" w:type="dxa"/>
              <w:end w:w="110" w:type="dxa"/>
            </w:tcMar>
            <w:vAlign w:val="center"/>
          </w:tcPr>
          <w:p>
            <w:pPr>
              <w:widowControl/>
              <w:spacing w:after="0"/>
            </w:pPr>
            <w:r>
              <w:rPr>
                <w:rFonts w:ascii="Calibri" w:hAnsi="Calibri"/>
                <w:b w:val="0"/>
                <w:color w:val="1F2937"/>
                <w:sz w:val="14"/>
              </w:rPr>
              <w:t>Critical scenarios, decisions, communications and dependencies</w:t>
            </w:r>
          </w:p>
        </w:tc>
        <w:tc>
          <w:tcPr>
            <w:tcW w:type="dxa" w:w="1670"/>
            <w:tcMar>
              <w:top w:w="80" w:type="dxa"/>
              <w:start w:w="110" w:type="dxa"/>
              <w:bottom w:w="80" w:type="dxa"/>
              <w:end w:w="110" w:type="dxa"/>
            </w:tcMar>
            <w:vAlign w:val="center"/>
          </w:tcPr>
          <w:p>
            <w:pPr>
              <w:widowControl/>
              <w:spacing w:after="0"/>
            </w:pPr>
            <w:r>
              <w:rPr>
                <w:rFonts w:ascii="Calibri" w:hAnsi="Calibri"/>
                <w:b w:val="0"/>
                <w:color w:val="1F2937"/>
                <w:sz w:val="14"/>
              </w:rPr>
              <w:t>D05 / D08 report</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4"/>
              </w:rPr>
              <w:t>Backup restoration</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At least annually; more often by risk</w:t>
            </w:r>
          </w:p>
        </w:tc>
        <w:tc>
          <w:tcPr>
            <w:tcW w:type="dxa" w:w="3888"/>
            <w:tcMar>
              <w:top w:w="80" w:type="dxa"/>
              <w:start w:w="110" w:type="dxa"/>
              <w:bottom w:w="80" w:type="dxa"/>
              <w:end w:w="110" w:type="dxa"/>
            </w:tcMar>
            <w:vAlign w:val="center"/>
            <w:shd w:fill="F8FAFC"/>
          </w:tcPr>
          <w:p>
            <w:pPr>
              <w:widowControl/>
              <w:spacing w:after="0"/>
            </w:pPr>
            <w:r>
              <w:rPr>
                <w:rFonts w:ascii="Calibri" w:hAnsi="Calibri"/>
                <w:b w:val="0"/>
                <w:color w:val="1F2937"/>
                <w:sz w:val="14"/>
              </w:rPr>
              <w:t>Representative critical data/system restored and validated</w:t>
            </w:r>
          </w:p>
        </w:tc>
        <w:tc>
          <w:tcPr>
            <w:tcW w:type="dxa" w:w="1670"/>
            <w:tcMar>
              <w:top w:w="80" w:type="dxa"/>
              <w:start w:w="110" w:type="dxa"/>
              <w:bottom w:w="80" w:type="dxa"/>
              <w:end w:w="110" w:type="dxa"/>
            </w:tcMar>
            <w:vAlign w:val="center"/>
            <w:shd w:fill="F8FAFC"/>
          </w:tcPr>
          <w:p>
            <w:pPr>
              <w:widowControl/>
              <w:spacing w:after="0"/>
            </w:pPr>
            <w:r>
              <w:rPr>
                <w:rFonts w:ascii="Calibri" w:hAnsi="Calibri"/>
                <w:b w:val="0"/>
                <w:color w:val="1F2937"/>
                <w:sz w:val="14"/>
              </w:rPr>
              <w:t>Restore evidence / D14</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4"/>
              </w:rPr>
              <w:t>Vulnerability assessment / scan</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[QUARTERLY] and after material exposure change</w:t>
            </w:r>
          </w:p>
        </w:tc>
        <w:tc>
          <w:tcPr>
            <w:tcW w:type="dxa" w:w="3888"/>
            <w:tcMar>
              <w:top w:w="80" w:type="dxa"/>
              <w:start w:w="110" w:type="dxa"/>
              <w:bottom w:w="80" w:type="dxa"/>
              <w:end w:w="110" w:type="dxa"/>
            </w:tcMar>
            <w:vAlign w:val="center"/>
          </w:tcPr>
          <w:p>
            <w:pPr>
              <w:widowControl/>
              <w:spacing w:after="0"/>
            </w:pPr>
            <w:r>
              <w:rPr>
                <w:rFonts w:ascii="Calibri" w:hAnsi="Calibri"/>
                <w:b w:val="0"/>
                <w:color w:val="1F2937"/>
                <w:sz w:val="14"/>
              </w:rPr>
              <w:t>External/internal assets as relevant</w:t>
            </w:r>
          </w:p>
        </w:tc>
        <w:tc>
          <w:tcPr>
            <w:tcW w:type="dxa" w:w="1670"/>
            <w:tcMar>
              <w:top w:w="80" w:type="dxa"/>
              <w:start w:w="110" w:type="dxa"/>
              <w:bottom w:w="80" w:type="dxa"/>
              <w:end w:w="110" w:type="dxa"/>
            </w:tcMar>
            <w:vAlign w:val="center"/>
          </w:tcPr>
          <w:p>
            <w:pPr>
              <w:widowControl/>
              <w:spacing w:after="0"/>
            </w:pPr>
            <w:r>
              <w:rPr>
                <w:rFonts w:ascii="Calibri" w:hAnsi="Calibri"/>
                <w:b w:val="0"/>
                <w:color w:val="1F2937"/>
                <w:sz w:val="14"/>
              </w:rPr>
              <w:t>Scan report / remediation</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4"/>
              </w:rPr>
              <w:t>Patch/configuration review</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[MONTHLY/QUARTERLY]</w:t>
            </w:r>
          </w:p>
        </w:tc>
        <w:tc>
          <w:tcPr>
            <w:tcW w:type="dxa" w:w="3888"/>
            <w:tcMar>
              <w:top w:w="80" w:type="dxa"/>
              <w:start w:w="110" w:type="dxa"/>
              <w:bottom w:w="80" w:type="dxa"/>
              <w:end w:w="110" w:type="dxa"/>
            </w:tcMar>
            <w:vAlign w:val="center"/>
            <w:shd w:fill="F8FAFC"/>
          </w:tcPr>
          <w:p>
            <w:pPr>
              <w:widowControl/>
              <w:spacing w:after="0"/>
            </w:pPr>
            <w:r>
              <w:rPr>
                <w:rFonts w:ascii="Calibri" w:hAnsi="Calibri"/>
                <w:b w:val="0"/>
                <w:color w:val="1F2937"/>
                <w:sz w:val="14"/>
              </w:rPr>
              <w:t>Critical assets and secure baselines</w:t>
            </w:r>
          </w:p>
        </w:tc>
        <w:tc>
          <w:tcPr>
            <w:tcW w:type="dxa" w:w="1670"/>
            <w:tcMar>
              <w:top w:w="80" w:type="dxa"/>
              <w:start w:w="110" w:type="dxa"/>
              <w:bottom w:w="80" w:type="dxa"/>
              <w:end w:w="110" w:type="dxa"/>
            </w:tcMar>
            <w:vAlign w:val="center"/>
            <w:shd w:fill="F8FAFC"/>
          </w:tcPr>
          <w:p>
            <w:pPr>
              <w:widowControl/>
              <w:spacing w:after="0"/>
            </w:pPr>
            <w:r>
              <w:rPr>
                <w:rFonts w:ascii="Calibri" w:hAnsi="Calibri"/>
                <w:b w:val="0"/>
                <w:color w:val="1F2937"/>
                <w:sz w:val="14"/>
              </w:rPr>
              <w:t>Exception and evidence review</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4"/>
              </w:rPr>
              <w:t>Access and privileged-access review</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[QUARTERLY/SEMI-ANNUALLY]</w:t>
            </w:r>
          </w:p>
        </w:tc>
        <w:tc>
          <w:tcPr>
            <w:tcW w:type="dxa" w:w="3888"/>
            <w:tcMar>
              <w:top w:w="80" w:type="dxa"/>
              <w:start w:w="110" w:type="dxa"/>
              <w:bottom w:w="80" w:type="dxa"/>
              <w:end w:w="110" w:type="dxa"/>
            </w:tcMar>
            <w:vAlign w:val="center"/>
          </w:tcPr>
          <w:p>
            <w:pPr>
              <w:widowControl/>
              <w:spacing w:after="0"/>
            </w:pPr>
            <w:r>
              <w:rPr>
                <w:rFonts w:ascii="Calibri" w:hAnsi="Calibri"/>
                <w:b w:val="0"/>
                <w:color w:val="1F2937"/>
                <w:sz w:val="14"/>
              </w:rPr>
              <w:t>Systems and providers</w:t>
            </w:r>
          </w:p>
        </w:tc>
        <w:tc>
          <w:tcPr>
            <w:tcW w:type="dxa" w:w="1670"/>
            <w:tcMar>
              <w:top w:w="80" w:type="dxa"/>
              <w:start w:w="110" w:type="dxa"/>
              <w:bottom w:w="80" w:type="dxa"/>
              <w:end w:w="110" w:type="dxa"/>
            </w:tcMar>
            <w:vAlign w:val="center"/>
          </w:tcPr>
          <w:p>
            <w:pPr>
              <w:widowControl/>
              <w:spacing w:after="0"/>
            </w:pPr>
            <w:r>
              <w:rPr>
                <w:rFonts w:ascii="Calibri" w:hAnsi="Calibri"/>
                <w:b w:val="0"/>
                <w:color w:val="1F2937"/>
                <w:sz w:val="14"/>
              </w:rPr>
              <w:t>Approved review / removals</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4"/>
              </w:rPr>
              <w:t>Scenario-based incident exercise</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At least annually</w:t>
            </w:r>
          </w:p>
        </w:tc>
        <w:tc>
          <w:tcPr>
            <w:tcW w:type="dxa" w:w="3888"/>
            <w:tcMar>
              <w:top w:w="80" w:type="dxa"/>
              <w:start w:w="110" w:type="dxa"/>
              <w:bottom w:w="80" w:type="dxa"/>
              <w:end w:w="110" w:type="dxa"/>
            </w:tcMar>
            <w:vAlign w:val="center"/>
            <w:shd w:fill="F8FAFC"/>
          </w:tcPr>
          <w:p>
            <w:pPr>
              <w:widowControl/>
              <w:spacing w:after="0"/>
            </w:pPr>
            <w:r>
              <w:rPr>
                <w:rFonts w:ascii="Calibri" w:hAnsi="Calibri"/>
                <w:b w:val="0"/>
                <w:color w:val="1F2937"/>
                <w:sz w:val="14"/>
              </w:rPr>
              <w:t>Major classification, reporting clock and portal form</w:t>
            </w:r>
          </w:p>
        </w:tc>
        <w:tc>
          <w:tcPr>
            <w:tcW w:type="dxa" w:w="1670"/>
            <w:tcMar>
              <w:top w:w="80" w:type="dxa"/>
              <w:start w:w="110" w:type="dxa"/>
              <w:bottom w:w="80" w:type="dxa"/>
              <w:end w:w="110" w:type="dxa"/>
            </w:tcMar>
            <w:vAlign w:val="center"/>
            <w:shd w:fill="F8FAFC"/>
          </w:tcPr>
          <w:p>
            <w:pPr>
              <w:widowControl/>
              <w:spacing w:after="0"/>
            </w:pPr>
            <w:r>
              <w:rPr>
                <w:rFonts w:ascii="Calibri" w:hAnsi="Calibri"/>
                <w:b w:val="0"/>
                <w:color w:val="1F2937"/>
                <w:sz w:val="14"/>
              </w:rPr>
              <w:t>Exercise report</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4"/>
              </w:rPr>
              <w:t>Provider resilience / exit walk-through</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At least annually for critical providers</w:t>
            </w:r>
          </w:p>
        </w:tc>
        <w:tc>
          <w:tcPr>
            <w:tcW w:type="dxa" w:w="3888"/>
            <w:tcMar>
              <w:top w:w="80" w:type="dxa"/>
              <w:start w:w="110" w:type="dxa"/>
              <w:bottom w:w="80" w:type="dxa"/>
              <w:end w:w="110" w:type="dxa"/>
            </w:tcMar>
            <w:vAlign w:val="center"/>
          </w:tcPr>
          <w:p>
            <w:pPr>
              <w:widowControl/>
              <w:spacing w:after="0"/>
            </w:pPr>
            <w:r>
              <w:rPr>
                <w:rFonts w:ascii="Calibri" w:hAnsi="Calibri"/>
                <w:b w:val="0"/>
                <w:color w:val="1F2937"/>
                <w:sz w:val="14"/>
              </w:rPr>
              <w:t>Failure, data return, replacement and communications</w:t>
            </w:r>
          </w:p>
        </w:tc>
        <w:tc>
          <w:tcPr>
            <w:tcW w:type="dxa" w:w="1670"/>
            <w:tcMar>
              <w:top w:w="80" w:type="dxa"/>
              <w:start w:w="110" w:type="dxa"/>
              <w:bottom w:w="80" w:type="dxa"/>
              <w:end w:w="110" w:type="dxa"/>
            </w:tcMar>
            <w:vAlign w:val="center"/>
          </w:tcPr>
          <w:p>
            <w:pPr>
              <w:widowControl/>
              <w:spacing w:after="0"/>
            </w:pPr>
            <w:r>
              <w:rPr>
                <w:rFonts w:ascii="Calibri" w:hAnsi="Calibri"/>
                <w:b w:val="0"/>
                <w:color w:val="1F2937"/>
                <w:sz w:val="14"/>
              </w:rPr>
              <w:t>D11 exit test</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4"/>
              </w:rPr>
              <w:t>Physical/security control check</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At least annually or by risk</w:t>
            </w:r>
          </w:p>
        </w:tc>
        <w:tc>
          <w:tcPr>
            <w:tcW w:type="dxa" w:w="3888"/>
            <w:tcMar>
              <w:top w:w="80" w:type="dxa"/>
              <w:start w:w="110" w:type="dxa"/>
              <w:bottom w:w="80" w:type="dxa"/>
              <w:end w:w="110" w:type="dxa"/>
            </w:tcMar>
            <w:vAlign w:val="center"/>
            <w:shd w:fill="F8FAFC"/>
          </w:tcPr>
          <w:p>
            <w:pPr>
              <w:widowControl/>
              <w:spacing w:after="0"/>
            </w:pPr>
            <w:r>
              <w:rPr>
                <w:rFonts w:ascii="Calibri" w:hAnsi="Calibri"/>
                <w:b w:val="0"/>
                <w:color w:val="1F2937"/>
                <w:sz w:val="14"/>
              </w:rPr>
              <w:t>Premises, media and devices</w:t>
            </w:r>
          </w:p>
        </w:tc>
        <w:tc>
          <w:tcPr>
            <w:tcW w:type="dxa" w:w="1670"/>
            <w:tcMar>
              <w:top w:w="80" w:type="dxa"/>
              <w:start w:w="110" w:type="dxa"/>
              <w:bottom w:w="80" w:type="dxa"/>
              <w:end w:w="110" w:type="dxa"/>
            </w:tcMar>
            <w:vAlign w:val="center"/>
            <w:shd w:fill="F8FAFC"/>
          </w:tcPr>
          <w:p>
            <w:pPr>
              <w:widowControl/>
              <w:spacing w:after="0"/>
            </w:pPr>
            <w:r>
              <w:rPr>
                <w:rFonts w:ascii="Calibri" w:hAnsi="Calibri"/>
                <w:b w:val="0"/>
                <w:color w:val="1F2937"/>
                <w:sz w:val="14"/>
              </w:rPr>
              <w:t>Inspection record</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4"/>
              </w:rPr>
              <w:t>Phishing / awareness assessment</w:t>
            </w:r>
          </w:p>
        </w:tc>
        <w:tc>
          <w:tcPr>
            <w:tcW w:type="dxa" w:w="2088"/>
            <w:tcMar>
              <w:top w:w="80" w:type="dxa"/>
              <w:start w:w="110" w:type="dxa"/>
              <w:bottom w:w="80" w:type="dxa"/>
              <w:end w:w="110" w:type="dxa"/>
            </w:tcMar>
            <w:vAlign w:val="center"/>
          </w:tcPr>
          <w:p>
            <w:pPr>
              <w:widowControl/>
              <w:spacing w:after="0"/>
            </w:pPr>
            <w:r>
              <w:rPr>
                <w:rFonts w:ascii="Calibri" w:hAnsi="Calibri"/>
                <w:b w:val="0"/>
                <w:color w:val="1F2937"/>
                <w:sz w:val="14"/>
              </w:rPr>
              <w:t>Risk-based</w:t>
            </w:r>
          </w:p>
        </w:tc>
        <w:tc>
          <w:tcPr>
            <w:tcW w:type="dxa" w:w="3888"/>
            <w:tcMar>
              <w:top w:w="80" w:type="dxa"/>
              <w:start w:w="110" w:type="dxa"/>
              <w:bottom w:w="80" w:type="dxa"/>
              <w:end w:w="110" w:type="dxa"/>
            </w:tcMar>
            <w:vAlign w:val="center"/>
          </w:tcPr>
          <w:p>
            <w:pPr>
              <w:widowControl/>
              <w:spacing w:after="0"/>
            </w:pPr>
            <w:r>
              <w:rPr>
                <w:rFonts w:ascii="Calibri" w:hAnsi="Calibri"/>
                <w:b w:val="0"/>
                <w:color w:val="1F2937"/>
                <w:sz w:val="14"/>
              </w:rPr>
              <w:t>Relevant personnel</w:t>
            </w:r>
          </w:p>
        </w:tc>
        <w:tc>
          <w:tcPr>
            <w:tcW w:type="dxa" w:w="1670"/>
            <w:tcMar>
              <w:top w:w="80" w:type="dxa"/>
              <w:start w:w="110" w:type="dxa"/>
              <w:bottom w:w="80" w:type="dxa"/>
              <w:end w:w="110" w:type="dxa"/>
            </w:tcMar>
            <w:vAlign w:val="center"/>
          </w:tcPr>
          <w:p>
            <w:pPr>
              <w:widowControl/>
              <w:spacing w:after="0"/>
            </w:pPr>
            <w:r>
              <w:rPr>
                <w:rFonts w:ascii="Calibri" w:hAnsi="Calibri"/>
                <w:b w:val="0"/>
                <w:color w:val="1F2937"/>
                <w:sz w:val="14"/>
              </w:rPr>
              <w:t>D12 results and training</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4"/>
              </w:rPr>
              <w:t>Penetration test</w:t>
            </w:r>
          </w:p>
        </w:tc>
        <w:tc>
          <w:tcPr>
            <w:tcW w:type="dxa" w:w="2088"/>
            <w:tcMar>
              <w:top w:w="80" w:type="dxa"/>
              <w:start w:w="110" w:type="dxa"/>
              <w:bottom w:w="80" w:type="dxa"/>
              <w:end w:w="110" w:type="dxa"/>
            </w:tcMar>
            <w:vAlign w:val="center"/>
            <w:shd w:fill="F8FAFC"/>
          </w:tcPr>
          <w:p>
            <w:pPr>
              <w:widowControl/>
              <w:spacing w:after="0"/>
            </w:pPr>
            <w:r>
              <w:rPr>
                <w:rFonts w:ascii="Calibri" w:hAnsi="Calibri"/>
                <w:b w:val="0"/>
                <w:color w:val="1F2937"/>
                <w:sz w:val="14"/>
              </w:rPr>
              <w:t>Risk-based and after material change</w:t>
            </w:r>
          </w:p>
        </w:tc>
        <w:tc>
          <w:tcPr>
            <w:tcW w:type="dxa" w:w="3888"/>
            <w:tcMar>
              <w:top w:w="80" w:type="dxa"/>
              <w:start w:w="110" w:type="dxa"/>
              <w:bottom w:w="80" w:type="dxa"/>
              <w:end w:w="110" w:type="dxa"/>
            </w:tcMar>
            <w:vAlign w:val="center"/>
            <w:shd w:fill="F8FAFC"/>
          </w:tcPr>
          <w:p>
            <w:pPr>
              <w:widowControl/>
              <w:spacing w:after="0"/>
            </w:pPr>
            <w:r>
              <w:rPr>
                <w:rFonts w:ascii="Calibri" w:hAnsi="Calibri"/>
                <w:b w:val="0"/>
                <w:color w:val="1F2937"/>
                <w:sz w:val="14"/>
              </w:rPr>
              <w:t>Externally exposed or high-risk systems</w:t>
            </w:r>
          </w:p>
        </w:tc>
        <w:tc>
          <w:tcPr>
            <w:tcW w:type="dxa" w:w="1670"/>
            <w:tcMar>
              <w:top w:w="80" w:type="dxa"/>
              <w:start w:w="110" w:type="dxa"/>
              <w:bottom w:w="80" w:type="dxa"/>
              <w:end w:w="110" w:type="dxa"/>
            </w:tcMar>
            <w:vAlign w:val="center"/>
            <w:shd w:fill="F8FAFC"/>
          </w:tcPr>
          <w:p>
            <w:pPr>
              <w:widowControl/>
              <w:spacing w:after="0"/>
            </w:pPr>
            <w:r>
              <w:rPr>
                <w:rFonts w:ascii="Calibri" w:hAnsi="Calibri"/>
                <w:b w:val="0"/>
                <w:color w:val="1F2937"/>
                <w:sz w:val="14"/>
              </w:rPr>
              <w:t>Independent test report</w:t>
            </w:r>
          </w:p>
        </w:tc>
      </w:tr>
    </w:tbl>
    <w:p>
      <w:pPr>
        <w:widowControl/>
        <w:spacing w:after="0"/>
      </w:pPr>
    </w:p>
    <w:p>
      <w:pPr>
        <w:pStyle w:val="Heading1"/>
        <w:widowControl/>
      </w:pPr>
      <w:r>
        <w:t>4. Test authorisation and safety</w:t>
      </w:r>
    </w:p>
    <w:p>
      <w:pPr>
        <w:widowControl/>
      </w:pPr>
      <w:r>
        <w:t>Every test shall have documented scope, objective, owner, tester competence/independence, systems and data, schedule, rules of engagement, stop conditions, communications, provider approvals, backup/rollback, evidence method and success criteria. Testing must protect production, confidentiality and client services.</w:t>
      </w:r>
    </w:p>
    <w:p>
      <w:pPr>
        <w:pStyle w:val="Heading1"/>
        <w:widowControl/>
      </w:pPr>
      <w:r>
        <w:t>5. Standard test script</w:t>
      </w:r>
    </w:p>
    <w:tbl>
      <w:tblPr>
        <w:tblStyle w:val="TableGrid"/>
        <w:tblW w:type="auto" w:w="0"/>
        <w:jc w:val="center"/>
        <w:tblLayout w:type="fixed"/>
        <w:tblLook w:firstColumn="1" w:firstRow="1" w:lastColumn="0" w:lastRow="0" w:noHBand="0" w:noVBand="1" w:val="04A0"/>
      </w:tblPr>
      <w:tblGrid>
        <w:gridCol w:w="2880"/>
        <w:gridCol w:w="6998"/>
      </w:tblGrid>
      <w:tr>
        <w:trPr>
          <w:tblHeader w:val="true"/>
        </w:trPr>
        <w:tc>
          <w:tcPr>
            <w:tcW w:type="dxa" w:w="2880"/>
            <w:shd w:fill="17365D"/>
            <w:tcMar>
              <w:top w:w="80" w:type="dxa"/>
              <w:start w:w="110" w:type="dxa"/>
              <w:bottom w:w="80" w:type="dxa"/>
              <w:end w:w="110" w:type="dxa"/>
            </w:tcMar>
            <w:vAlign w:val="center"/>
          </w:tcPr>
          <w:p>
            <w:pPr>
              <w:widowControl/>
            </w:pPr>
            <w:r>
              <w:rPr>
                <w:rFonts w:ascii="Calibri" w:hAnsi="Calibri"/>
                <w:b/>
                <w:color w:val="FFFFFF"/>
                <w:sz w:val="16"/>
              </w:rPr>
              <w:t>Field</w:t>
            </w:r>
          </w:p>
        </w:tc>
        <w:tc>
          <w:tcPr>
            <w:tcW w:type="dxa" w:w="6998"/>
            <w:shd w:fill="17365D"/>
            <w:tcMar>
              <w:top w:w="80" w:type="dxa"/>
              <w:start w:w="110" w:type="dxa"/>
              <w:bottom w:w="80" w:type="dxa"/>
              <w:end w:w="110" w:type="dxa"/>
            </w:tcMar>
            <w:vAlign w:val="center"/>
          </w:tcPr>
          <w:p>
            <w:pPr>
              <w:widowControl/>
            </w:pPr>
            <w:r>
              <w:rPr>
                <w:rFonts w:ascii="Calibri" w:hAnsi="Calibri"/>
                <w:b/>
                <w:color w:val="FFFFFF"/>
                <w:sz w:val="16"/>
              </w:rPr>
              <w:t>Required content</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color w:val="1F4D78"/>
                <w:sz w:val="16"/>
              </w:rPr>
              <w:t>Test ID / title</w:t>
            </w:r>
          </w:p>
        </w:tc>
        <w:tc>
          <w:tcPr>
            <w:tcW w:type="dxa" w:w="6998"/>
            <w:tcMar>
              <w:top w:w="80" w:type="dxa"/>
              <w:start w:w="110" w:type="dxa"/>
              <w:bottom w:w="80" w:type="dxa"/>
              <w:end w:w="110" w:type="dxa"/>
            </w:tcMar>
            <w:vAlign w:val="center"/>
          </w:tcPr>
          <w:p>
            <w:pPr>
              <w:widowControl/>
              <w:spacing w:after="0"/>
            </w:pPr>
            <w:r>
              <w:rPr>
                <w:rFonts w:ascii="Calibri" w:hAnsi="Calibri"/>
                <w:b w:val="0"/>
                <w:color w:val="1F2937"/>
                <w:sz w:val="16"/>
              </w:rPr>
              <w:t>[ID / NAME]</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color w:val="1F4D78"/>
                <w:sz w:val="16"/>
              </w:rPr>
              <w:t>Requirement / control</w:t>
            </w:r>
          </w:p>
        </w:tc>
        <w:tc>
          <w:tcPr>
            <w:tcW w:type="dxa" w:w="6998"/>
            <w:tcMar>
              <w:top w:w="80" w:type="dxa"/>
              <w:start w:w="110" w:type="dxa"/>
              <w:bottom w:w="80" w:type="dxa"/>
              <w:end w:w="110" w:type="dxa"/>
            </w:tcMar>
            <w:vAlign w:val="center"/>
            <w:shd w:fill="F8FAFC"/>
          </w:tcPr>
          <w:p>
            <w:pPr>
              <w:widowControl/>
              <w:spacing w:after="0"/>
            </w:pPr>
            <w:r>
              <w:rPr>
                <w:rFonts w:ascii="Calibri" w:hAnsi="Calibri"/>
                <w:b w:val="0"/>
                <w:color w:val="1F2937"/>
                <w:sz w:val="16"/>
              </w:rPr>
              <w:t>[TRACEABILITY IDs / D01–D14 SECTIONS]</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color w:val="1F4D78"/>
                <w:sz w:val="16"/>
              </w:rPr>
              <w:t>Objective</w:t>
            </w:r>
          </w:p>
        </w:tc>
        <w:tc>
          <w:tcPr>
            <w:tcW w:type="dxa" w:w="6998"/>
            <w:tcMar>
              <w:top w:w="80" w:type="dxa"/>
              <w:start w:w="110" w:type="dxa"/>
              <w:bottom w:w="80" w:type="dxa"/>
              <w:end w:w="110" w:type="dxa"/>
            </w:tcMar>
            <w:vAlign w:val="center"/>
          </w:tcPr>
          <w:p>
            <w:pPr>
              <w:widowControl/>
              <w:spacing w:after="0"/>
            </w:pPr>
            <w:r>
              <w:rPr>
                <w:rFonts w:ascii="Calibri" w:hAnsi="Calibri"/>
                <w:b w:val="0"/>
                <w:color w:val="1F2937"/>
                <w:sz w:val="16"/>
              </w:rPr>
              <w:t>[WHAT EFFECTIVENESS IS BEING VALIDATED]</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color w:val="1F4D78"/>
                <w:sz w:val="16"/>
              </w:rPr>
              <w:t>Scope / exclusions</w:t>
            </w:r>
          </w:p>
        </w:tc>
        <w:tc>
          <w:tcPr>
            <w:tcW w:type="dxa" w:w="6998"/>
            <w:tcMar>
              <w:top w:w="80" w:type="dxa"/>
              <w:start w:w="110" w:type="dxa"/>
              <w:bottom w:w="80" w:type="dxa"/>
              <w:end w:w="110" w:type="dxa"/>
            </w:tcMar>
            <w:vAlign w:val="center"/>
            <w:shd w:fill="F8FAFC"/>
          </w:tcPr>
          <w:p>
            <w:pPr>
              <w:widowControl/>
              <w:spacing w:after="0"/>
            </w:pPr>
            <w:r>
              <w:rPr>
                <w:rFonts w:ascii="Calibri" w:hAnsi="Calibri"/>
                <w:b w:val="0"/>
                <w:color w:val="1F2937"/>
                <w:sz w:val="16"/>
              </w:rPr>
              <w:t>[SYSTEMS, DATA, LOCATIONS, PROVIDERS / RATIONALE]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color w:val="1F4D78"/>
                <w:sz w:val="16"/>
              </w:rPr>
              <w:t>Preconditions</w:t>
            </w:r>
          </w:p>
        </w:tc>
        <w:tc>
          <w:tcPr>
            <w:tcW w:type="dxa" w:w="6998"/>
            <w:tcMar>
              <w:top w:w="80" w:type="dxa"/>
              <w:start w:w="110" w:type="dxa"/>
              <w:bottom w:w="80" w:type="dxa"/>
              <w:end w:w="110" w:type="dxa"/>
            </w:tcMar>
            <w:vAlign w:val="center"/>
          </w:tcPr>
          <w:p>
            <w:pPr>
              <w:widowControl/>
              <w:spacing w:after="0"/>
            </w:pPr>
            <w:r>
              <w:rPr>
                <w:rFonts w:ascii="Calibri" w:hAnsi="Calibri"/>
                <w:b w:val="0"/>
                <w:color w:val="1F2937"/>
                <w:sz w:val="16"/>
              </w:rPr>
              <w:t>[ACCESS, BACKUP, APPROVALS, CONTACTS]</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color w:val="1F4D78"/>
                <w:sz w:val="16"/>
              </w:rPr>
              <w:t>Method / steps</w:t>
            </w:r>
          </w:p>
        </w:tc>
        <w:tc>
          <w:tcPr>
            <w:tcW w:type="dxa" w:w="6998"/>
            <w:tcMar>
              <w:top w:w="80" w:type="dxa"/>
              <w:start w:w="110" w:type="dxa"/>
              <w:bottom w:w="80" w:type="dxa"/>
              <w:end w:w="110" w:type="dxa"/>
            </w:tcMar>
            <w:vAlign w:val="center"/>
            <w:shd w:fill="F8FAFC"/>
          </w:tcPr>
          <w:p>
            <w:pPr>
              <w:widowControl/>
              <w:spacing w:after="0"/>
            </w:pPr>
            <w:r>
              <w:rPr>
                <w:rFonts w:ascii="Calibri" w:hAnsi="Calibri"/>
                <w:b w:val="0"/>
                <w:color w:val="1F2937"/>
                <w:sz w:val="16"/>
              </w:rPr>
              <w:t>[STEP-BY-STEP PROCEDURE]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color w:val="1F4D78"/>
                <w:sz w:val="16"/>
              </w:rPr>
              <w:t>Success criteria</w:t>
            </w:r>
          </w:p>
        </w:tc>
        <w:tc>
          <w:tcPr>
            <w:tcW w:type="dxa" w:w="6998"/>
            <w:tcMar>
              <w:top w:w="80" w:type="dxa"/>
              <w:start w:w="110" w:type="dxa"/>
              <w:bottom w:w="80" w:type="dxa"/>
              <w:end w:w="110" w:type="dxa"/>
            </w:tcMar>
            <w:vAlign w:val="center"/>
          </w:tcPr>
          <w:p>
            <w:pPr>
              <w:widowControl/>
              <w:spacing w:after="0"/>
            </w:pPr>
            <w:r>
              <w:rPr>
                <w:rFonts w:ascii="Calibri" w:hAnsi="Calibri"/>
                <w:b w:val="0"/>
                <w:color w:val="1F2937"/>
                <w:sz w:val="16"/>
              </w:rPr>
              <w:t>[MEASURABLE RESULT, INCLUDING RTO/RPO WHERE RELEVANT]</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color w:val="1F4D78"/>
                <w:sz w:val="16"/>
              </w:rPr>
              <w:t>Stop conditions</w:t>
            </w:r>
          </w:p>
        </w:tc>
        <w:tc>
          <w:tcPr>
            <w:tcW w:type="dxa" w:w="6998"/>
            <w:tcMar>
              <w:top w:w="80" w:type="dxa"/>
              <w:start w:w="110" w:type="dxa"/>
              <w:bottom w:w="80" w:type="dxa"/>
              <w:end w:w="110" w:type="dxa"/>
            </w:tcMar>
            <w:vAlign w:val="center"/>
            <w:shd w:fill="F8FAFC"/>
          </w:tcPr>
          <w:p>
            <w:pPr>
              <w:widowControl/>
              <w:spacing w:after="0"/>
            </w:pPr>
            <w:r>
              <w:rPr>
                <w:rFonts w:ascii="Calibri" w:hAnsi="Calibri"/>
                <w:b w:val="0"/>
                <w:color w:val="1F2937"/>
                <w:sz w:val="16"/>
              </w:rPr>
              <w:t>[SAFETY / SERVICE / DATA THRESHOLD]</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color w:val="1F4D78"/>
                <w:sz w:val="16"/>
              </w:rPr>
              <w:t>Evidence</w:t>
            </w:r>
          </w:p>
        </w:tc>
        <w:tc>
          <w:tcPr>
            <w:tcW w:type="dxa" w:w="6998"/>
            <w:tcMar>
              <w:top w:w="80" w:type="dxa"/>
              <w:start w:w="110" w:type="dxa"/>
              <w:bottom w:w="80" w:type="dxa"/>
              <w:end w:w="110" w:type="dxa"/>
            </w:tcMar>
            <w:vAlign w:val="center"/>
          </w:tcPr>
          <w:p>
            <w:pPr>
              <w:widowControl/>
              <w:spacing w:after="0"/>
            </w:pPr>
            <w:r>
              <w:rPr>
                <w:rFonts w:ascii="Calibri" w:hAnsi="Calibri"/>
                <w:b w:val="0"/>
                <w:color w:val="1F2937"/>
                <w:sz w:val="16"/>
              </w:rPr>
              <w:t>[LOGS, SCREENSHOTS, OUTPUTS, TIMES, OBSERVATIONS]</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color w:val="1F4D78"/>
                <w:sz w:val="16"/>
              </w:rPr>
              <w:t>Result</w:t>
            </w:r>
          </w:p>
        </w:tc>
        <w:tc>
          <w:tcPr>
            <w:tcW w:type="dxa" w:w="6998"/>
            <w:tcMar>
              <w:top w:w="80" w:type="dxa"/>
              <w:start w:w="110" w:type="dxa"/>
              <w:bottom w:w="80" w:type="dxa"/>
              <w:end w:w="110" w:type="dxa"/>
            </w:tcMar>
            <w:vAlign w:val="center"/>
            <w:shd w:fill="F8FAFC"/>
          </w:tcPr>
          <w:p>
            <w:pPr>
              <w:widowControl/>
              <w:spacing w:after="0"/>
            </w:pPr>
            <w:r>
              <w:rPr>
                <w:rFonts w:ascii="Calibri" w:hAnsi="Calibri"/>
                <w:b w:val="0"/>
                <w:color w:val="1F2937"/>
                <w:sz w:val="16"/>
              </w:rPr>
              <w:t>Pass / partial / fail / not completed</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color w:val="1F4D78"/>
                <w:sz w:val="16"/>
              </w:rPr>
              <w:t>Findings and risk</w:t>
            </w:r>
          </w:p>
        </w:tc>
        <w:tc>
          <w:tcPr>
            <w:tcW w:type="dxa" w:w="6998"/>
            <w:tcMar>
              <w:top w:w="80" w:type="dxa"/>
              <w:start w:w="110" w:type="dxa"/>
              <w:bottom w:w="80" w:type="dxa"/>
              <w:end w:w="110" w:type="dxa"/>
            </w:tcMar>
            <w:vAlign w:val="center"/>
          </w:tcPr>
          <w:p>
            <w:pPr>
              <w:widowControl/>
              <w:spacing w:after="0"/>
            </w:pPr>
            <w:r>
              <w:rPr>
                <w:rFonts w:ascii="Calibri" w:hAnsi="Calibri"/>
                <w:b w:val="0"/>
                <w:color w:val="1F2937"/>
                <w:sz w:val="16"/>
              </w:rPr>
              <w:t>[SEVERITY, CAUSE, AFFECTED REQUIREMENTS]</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color w:val="1F4D78"/>
                <w:sz w:val="16"/>
              </w:rPr>
              <w:t>Actions / retest</w:t>
            </w:r>
          </w:p>
        </w:tc>
        <w:tc>
          <w:tcPr>
            <w:tcW w:type="dxa" w:w="6998"/>
            <w:tcMar>
              <w:top w:w="80" w:type="dxa"/>
              <w:start w:w="110" w:type="dxa"/>
              <w:bottom w:w="80" w:type="dxa"/>
              <w:end w:w="110" w:type="dxa"/>
            </w:tcMar>
            <w:vAlign w:val="center"/>
            <w:shd w:fill="F8FAFC"/>
          </w:tcPr>
          <w:p>
            <w:pPr>
              <w:widowControl/>
              <w:spacing w:after="0"/>
            </w:pPr>
            <w:r>
              <w:rPr>
                <w:rFonts w:ascii="Calibri" w:hAnsi="Calibri"/>
                <w:b w:val="0"/>
                <w:color w:val="1F2937"/>
                <w:sz w:val="16"/>
              </w:rPr>
              <w:t>[OWNER, DUE DATE, INTERIM CONTROL, RETEST]</w:t>
            </w:r>
          </w:p>
        </w:tc>
      </w:tr>
    </w:tbl>
    <w:p>
      <w:pPr>
        <w:widowControl/>
        <w:spacing w:after="0"/>
      </w:pPr>
    </w:p>
    <w:p>
      <w:pPr>
        <w:pStyle w:val="Heading1"/>
        <w:widowControl/>
      </w:pPr>
      <w:r>
        <w:t>6. Continuity tabletop script</w:t>
      </w:r>
    </w:p>
    <w:tbl>
      <w:tblPr>
        <w:tblStyle w:val="TableGrid"/>
        <w:tblW w:type="auto" w:w="0"/>
        <w:jc w:val="center"/>
        <w:tblLayout w:type="fixed"/>
        <w:tblLook w:firstColumn="1" w:firstRow="1" w:lastColumn="0" w:lastRow="0" w:noHBand="0" w:noVBand="1" w:val="04A0"/>
      </w:tblPr>
      <w:tblGrid>
        <w:gridCol w:w="2520"/>
        <w:gridCol w:w="4968"/>
        <w:gridCol w:w="2390"/>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5"/>
              </w:rPr>
              <w:t>Inject</w:t>
            </w:r>
          </w:p>
        </w:tc>
        <w:tc>
          <w:tcPr>
            <w:tcW w:type="dxa" w:w="4968"/>
            <w:shd w:fill="17365D"/>
            <w:tcMar>
              <w:top w:w="80" w:type="dxa"/>
              <w:start w:w="110" w:type="dxa"/>
              <w:bottom w:w="80" w:type="dxa"/>
              <w:end w:w="110" w:type="dxa"/>
            </w:tcMar>
            <w:vAlign w:val="center"/>
          </w:tcPr>
          <w:p>
            <w:pPr>
              <w:widowControl/>
            </w:pPr>
            <w:r>
              <w:rPr>
                <w:rFonts w:ascii="Calibri" w:hAnsi="Calibri"/>
                <w:b/>
                <w:color w:val="FFFFFF"/>
                <w:sz w:val="15"/>
              </w:rPr>
              <w:t>Expected participant action</w:t>
            </w:r>
          </w:p>
        </w:tc>
        <w:tc>
          <w:tcPr>
            <w:tcW w:type="dxa" w:w="2390"/>
            <w:shd w:fill="17365D"/>
            <w:tcMar>
              <w:top w:w="80" w:type="dxa"/>
              <w:start w:w="110" w:type="dxa"/>
              <w:bottom w:w="80" w:type="dxa"/>
              <w:end w:w="110" w:type="dxa"/>
            </w:tcMar>
            <w:vAlign w:val="center"/>
          </w:tcPr>
          <w:p>
            <w:pPr>
              <w:widowControl/>
            </w:pPr>
            <w:r>
              <w:rPr>
                <w:rFonts w:ascii="Calibri" w:hAnsi="Calibri"/>
                <w:b/>
                <w:color w:val="FFFFFF"/>
                <w:sz w:val="15"/>
              </w:rPr>
              <w:t>Evidence / observation</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5"/>
              </w:rPr>
              <w:t>Critical SaaS unavailable; provider ETA unknown</w:t>
            </w:r>
          </w:p>
        </w:tc>
        <w:tc>
          <w:tcPr>
            <w:tcW w:type="dxa" w:w="4968"/>
            <w:tcMar>
              <w:top w:w="80" w:type="dxa"/>
              <w:start w:w="110" w:type="dxa"/>
              <w:bottom w:w="80" w:type="dxa"/>
              <w:end w:w="110" w:type="dxa"/>
            </w:tcMar>
            <w:vAlign w:val="center"/>
          </w:tcPr>
          <w:p>
            <w:pPr>
              <w:widowControl/>
              <w:spacing w:after="0"/>
            </w:pPr>
            <w:r>
              <w:rPr>
                <w:rFonts w:ascii="Calibri" w:hAnsi="Calibri"/>
                <w:b w:val="0"/>
                <w:color w:val="1F2937"/>
                <w:sz w:val="15"/>
              </w:rPr>
              <w:t>Activate D05; identify functions and workarounds; open D07 record</w:t>
            </w:r>
          </w:p>
        </w:tc>
        <w:tc>
          <w:tcPr>
            <w:tcW w:type="dxa" w:w="2390"/>
            <w:tcMar>
              <w:top w:w="80" w:type="dxa"/>
              <w:start w:w="110" w:type="dxa"/>
              <w:bottom w:w="80" w:type="dxa"/>
              <w:end w:w="110" w:type="dxa"/>
            </w:tcMar>
            <w:vAlign w:val="center"/>
          </w:tcPr>
          <w:p>
            <w:pPr>
              <w:widowControl/>
              <w:spacing w:after="0"/>
            </w:pPr>
            <w:r>
              <w:rPr>
                <w:rFonts w:ascii="Calibri" w:hAnsi="Calibri"/>
                <w:b w:val="0"/>
                <w:color w:val="1F2937"/>
                <w:sz w:val="15"/>
              </w:rPr>
              <w:t>Decision time and dependencies</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5"/>
              </w:rPr>
              <w:t>Downtime reaches 2 hours for critical function</w:t>
            </w:r>
          </w:p>
        </w:tc>
        <w:tc>
          <w:tcPr>
            <w:tcW w:type="dxa" w:w="4968"/>
            <w:tcMar>
              <w:top w:w="80" w:type="dxa"/>
              <w:start w:w="110" w:type="dxa"/>
              <w:bottom w:w="80" w:type="dxa"/>
              <w:end w:w="110" w:type="dxa"/>
            </w:tcMar>
            <w:vAlign w:val="center"/>
            <w:shd w:fill="F8FAFC"/>
          </w:tcPr>
          <w:p>
            <w:pPr>
              <w:widowControl/>
              <w:spacing w:after="0"/>
            </w:pPr>
            <w:r>
              <w:rPr>
                <w:rFonts w:ascii="Calibri" w:hAnsi="Calibri"/>
                <w:b w:val="0"/>
                <w:color w:val="1F2937"/>
                <w:sz w:val="15"/>
              </w:rPr>
              <w:t>Apply RTS classification; decide major status; start initial report</w:t>
            </w:r>
          </w:p>
        </w:tc>
        <w:tc>
          <w:tcPr>
            <w:tcW w:type="dxa" w:w="2390"/>
            <w:tcMar>
              <w:top w:w="80" w:type="dxa"/>
              <w:start w:w="110" w:type="dxa"/>
              <w:bottom w:w="80" w:type="dxa"/>
              <w:end w:w="110" w:type="dxa"/>
            </w:tcMar>
            <w:vAlign w:val="center"/>
            <w:shd w:fill="F8FAFC"/>
          </w:tcPr>
          <w:p>
            <w:pPr>
              <w:widowControl/>
              <w:spacing w:after="0"/>
            </w:pPr>
            <w:r>
              <w:rPr>
                <w:rFonts w:ascii="Calibri" w:hAnsi="Calibri"/>
                <w:b w:val="0"/>
                <w:color w:val="1F2937"/>
                <w:sz w:val="15"/>
              </w:rPr>
              <w:t>Classification worksheet</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5"/>
              </w:rPr>
              <w:t>Backup recovery point is older than approved RPO</w:t>
            </w:r>
          </w:p>
        </w:tc>
        <w:tc>
          <w:tcPr>
            <w:tcW w:type="dxa" w:w="4968"/>
            <w:tcMar>
              <w:top w:w="80" w:type="dxa"/>
              <w:start w:w="110" w:type="dxa"/>
              <w:bottom w:w="80" w:type="dxa"/>
              <w:end w:w="110" w:type="dxa"/>
            </w:tcMar>
            <w:vAlign w:val="center"/>
          </w:tcPr>
          <w:p>
            <w:pPr>
              <w:widowControl/>
              <w:spacing w:after="0"/>
            </w:pPr>
            <w:r>
              <w:rPr>
                <w:rFonts w:ascii="Calibri" w:hAnsi="Calibri"/>
                <w:b w:val="0"/>
                <w:color w:val="1F2937"/>
                <w:sz w:val="15"/>
              </w:rPr>
              <w:t>Assess data impact, transactions, clients and risk decision</w:t>
            </w:r>
          </w:p>
        </w:tc>
        <w:tc>
          <w:tcPr>
            <w:tcW w:type="dxa" w:w="2390"/>
            <w:tcMar>
              <w:top w:w="80" w:type="dxa"/>
              <w:start w:w="110" w:type="dxa"/>
              <w:bottom w:w="80" w:type="dxa"/>
              <w:end w:w="110" w:type="dxa"/>
            </w:tcMar>
            <w:vAlign w:val="center"/>
          </w:tcPr>
          <w:p>
            <w:pPr>
              <w:widowControl/>
              <w:spacing w:after="0"/>
            </w:pPr>
            <w:r>
              <w:rPr>
                <w:rFonts w:ascii="Calibri" w:hAnsi="Calibri"/>
                <w:b w:val="0"/>
                <w:color w:val="1F2937"/>
                <w:sz w:val="15"/>
              </w:rPr>
              <w:t>BIA/RPO comparison</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5"/>
              </w:rPr>
              <w:t>Provider reports possible unauthorised access</w:t>
            </w:r>
          </w:p>
        </w:tc>
        <w:tc>
          <w:tcPr>
            <w:tcW w:type="dxa" w:w="4968"/>
            <w:tcMar>
              <w:top w:w="80" w:type="dxa"/>
              <w:start w:w="110" w:type="dxa"/>
              <w:bottom w:w="80" w:type="dxa"/>
              <w:end w:w="110" w:type="dxa"/>
            </w:tcMar>
            <w:vAlign w:val="center"/>
            <w:shd w:fill="F8FAFC"/>
          </w:tcPr>
          <w:p>
            <w:pPr>
              <w:widowControl/>
              <w:spacing w:after="0"/>
            </w:pPr>
            <w:r>
              <w:rPr>
                <w:rFonts w:ascii="Calibri" w:hAnsi="Calibri"/>
                <w:b w:val="0"/>
                <w:color w:val="1F2937"/>
                <w:sz w:val="15"/>
              </w:rPr>
              <w:t>Apply data-loss threshold; preserve evidence; coordinate notification</w:t>
            </w:r>
          </w:p>
        </w:tc>
        <w:tc>
          <w:tcPr>
            <w:tcW w:type="dxa" w:w="2390"/>
            <w:tcMar>
              <w:top w:w="80" w:type="dxa"/>
              <w:start w:w="110" w:type="dxa"/>
              <w:bottom w:w="80" w:type="dxa"/>
              <w:end w:w="110" w:type="dxa"/>
            </w:tcMar>
            <w:vAlign w:val="center"/>
            <w:shd w:fill="F8FAFC"/>
          </w:tcPr>
          <w:p>
            <w:pPr>
              <w:widowControl/>
              <w:spacing w:after="0"/>
            </w:pPr>
            <w:r>
              <w:rPr>
                <w:rFonts w:ascii="Calibri" w:hAnsi="Calibri"/>
                <w:b w:val="0"/>
                <w:color w:val="1F2937"/>
                <w:sz w:val="15"/>
              </w:rPr>
              <w:t>Updated classification</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5"/>
              </w:rPr>
              <w:t>Service restored with reconciliation backlog</w:t>
            </w:r>
          </w:p>
        </w:tc>
        <w:tc>
          <w:tcPr>
            <w:tcW w:type="dxa" w:w="4968"/>
            <w:tcMar>
              <w:top w:w="80" w:type="dxa"/>
              <w:start w:w="110" w:type="dxa"/>
              <w:bottom w:w="80" w:type="dxa"/>
              <w:end w:w="110" w:type="dxa"/>
            </w:tcMar>
            <w:vAlign w:val="center"/>
          </w:tcPr>
          <w:p>
            <w:pPr>
              <w:widowControl/>
              <w:spacing w:after="0"/>
            </w:pPr>
            <w:r>
              <w:rPr>
                <w:rFonts w:ascii="Calibri" w:hAnsi="Calibri"/>
                <w:b w:val="0"/>
                <w:color w:val="1F2937"/>
                <w:sz w:val="15"/>
              </w:rPr>
              <w:t>Validate minimum service; submit intermediate update; manage backlog</w:t>
            </w:r>
          </w:p>
        </w:tc>
        <w:tc>
          <w:tcPr>
            <w:tcW w:type="dxa" w:w="2390"/>
            <w:tcMar>
              <w:top w:w="80" w:type="dxa"/>
              <w:start w:w="110" w:type="dxa"/>
              <w:bottom w:w="80" w:type="dxa"/>
              <w:end w:w="110" w:type="dxa"/>
            </w:tcMar>
            <w:vAlign w:val="center"/>
          </w:tcPr>
          <w:p>
            <w:pPr>
              <w:widowControl/>
              <w:spacing w:after="0"/>
            </w:pPr>
            <w:r>
              <w:rPr>
                <w:rFonts w:ascii="Calibri" w:hAnsi="Calibri"/>
                <w:b w:val="0"/>
                <w:color w:val="1F2937"/>
                <w:sz w:val="15"/>
              </w:rPr>
              <w:t>Recovery and reporting record</w:t>
            </w:r>
          </w:p>
        </w:tc>
      </w:tr>
    </w:tbl>
    <w:p>
      <w:pPr>
        <w:widowControl/>
        <w:spacing w:after="0"/>
      </w:pPr>
    </w:p>
    <w:p>
      <w:pPr>
        <w:pStyle w:val="Heading1"/>
        <w:widowControl/>
      </w:pPr>
      <w:r>
        <w:t>7. Findings, remediation and retesting</w:t>
      </w:r>
    </w:p>
    <w:p>
      <w:pPr>
        <w:widowControl/>
      </w:pPr>
      <w:r>
        <w:t>Findings shall be risk-rated using D03. Critical/high findings require prompt interim controls, management visibility and verified closure. The person who performed remediation should not be the sole verifier where independent review is proportionate. Closure requires objective evidence; planned action alone is not closure.</w:t>
      </w:r>
    </w:p>
    <w:p>
      <w:pPr>
        <w:pStyle w:val="Heading1"/>
        <w:widowControl/>
      </w:pPr>
      <w:r>
        <w:t>8. Annual programme report</w:t>
      </w:r>
    </w:p>
    <w:p>
      <w:pPr>
        <w:pStyle w:val="ListBullet"/>
        <w:widowControl/>
        <w:ind w:left="461"/>
      </w:pPr>
      <w:r>
        <w:t>planned versus completed tests and material scope changes;</w:t>
      </w:r>
    </w:p>
    <w:p>
      <w:pPr>
        <w:pStyle w:val="ListBullet"/>
        <w:widowControl/>
        <w:ind w:left="461"/>
      </w:pPr>
      <w:r>
        <w:t>coverage of critical functions, assets, providers and control families;</w:t>
      </w:r>
    </w:p>
    <w:p>
      <w:pPr>
        <w:pStyle w:val="ListBullet"/>
        <w:widowControl/>
        <w:ind w:left="461"/>
      </w:pPr>
      <w:r>
        <w:t>results, recurring themes and risk trends;</w:t>
      </w:r>
    </w:p>
    <w:p>
      <w:pPr>
        <w:pStyle w:val="ListBullet"/>
        <w:widowControl/>
        <w:ind w:left="461"/>
      </w:pPr>
      <w:r>
        <w:t>critical/high findings, overdue actions and accepted risks;</w:t>
      </w:r>
    </w:p>
    <w:p>
      <w:pPr>
        <w:pStyle w:val="ListBullet"/>
        <w:widowControl/>
        <w:ind w:left="461"/>
      </w:pPr>
      <w:r>
        <w:t>actual recovery performance compared with RTO/RPO;</w:t>
      </w:r>
    </w:p>
    <w:p>
      <w:pPr>
        <w:pStyle w:val="ListBullet"/>
        <w:widowControl/>
        <w:ind w:left="461"/>
      </w:pPr>
      <w:r>
        <w:t>tester independence, competence and limitations;</w:t>
      </w:r>
    </w:p>
    <w:p>
      <w:pPr>
        <w:pStyle w:val="ListBullet"/>
        <w:widowControl/>
        <w:ind w:left="461"/>
      </w:pPr>
      <w:r>
        <w:t>lessons incorporated into D01–D14;</w:t>
      </w:r>
    </w:p>
    <w:p>
      <w:pPr>
        <w:pStyle w:val="ListBullet"/>
        <w:widowControl/>
        <w:ind w:left="461"/>
      </w:pPr>
      <w:r>
        <w:t>programme recommendation and next-year priorities.</w:t>
      </w:r>
    </w:p>
    <w:p>
      <w:pPr>
        <w:pStyle w:val="Heading1"/>
        <w:widowControl/>
      </w:pPr>
      <w:r>
        <w:t>Appendix A — Test report approval</w:t>
      </w:r>
    </w:p>
    <w:tbl>
      <w:tblPr>
        <w:tblStyle w:val="TableGrid"/>
        <w:tblW w:type="auto" w:w="0"/>
        <w:jc w:val="center"/>
        <w:tblLayout w:type="fixed"/>
        <w:tblLook w:firstColumn="1" w:firstRow="1" w:lastColumn="0" w:lastRow="0" w:noHBand="0" w:noVBand="1" w:val="04A0"/>
      </w:tblPr>
      <w:tblGrid>
        <w:gridCol w:w="2376"/>
        <w:gridCol w:w="2376"/>
        <w:gridCol w:w="3528"/>
        <w:gridCol w:w="1598"/>
      </w:tblGrid>
      <w:tr>
        <w:trPr>
          <w:tblHeader w:val="true"/>
        </w:trPr>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Role</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Name</w:t>
            </w:r>
          </w:p>
        </w:tc>
        <w:tc>
          <w:tcPr>
            <w:tcW w:type="dxa" w:w="3528"/>
            <w:shd w:fill="17365D"/>
            <w:tcMar>
              <w:top w:w="80" w:type="dxa"/>
              <w:start w:w="110" w:type="dxa"/>
              <w:bottom w:w="80" w:type="dxa"/>
              <w:end w:w="110" w:type="dxa"/>
            </w:tcMar>
            <w:vAlign w:val="center"/>
          </w:tcPr>
          <w:p>
            <w:pPr>
              <w:widowControl/>
            </w:pPr>
            <w:r>
              <w:rPr>
                <w:rFonts w:ascii="Calibri" w:hAnsi="Calibri"/>
                <w:b/>
                <w:color w:val="FFFFFF"/>
                <w:sz w:val="16"/>
              </w:rPr>
              <w:t>Decision / conclusion</w:t>
            </w:r>
          </w:p>
        </w:tc>
        <w:tc>
          <w:tcPr>
            <w:tcW w:type="dxa" w:w="1598"/>
            <w:shd w:fill="17365D"/>
            <w:tcMar>
              <w:top w:w="80" w:type="dxa"/>
              <w:start w:w="110" w:type="dxa"/>
              <w:bottom w:w="80" w:type="dxa"/>
              <w:end w:w="110" w:type="dxa"/>
            </w:tcMar>
            <w:vAlign w:val="center"/>
          </w:tcPr>
          <w:p>
            <w:pPr>
              <w:widowControl/>
            </w:pPr>
            <w:r>
              <w:rPr>
                <w:rFonts w:ascii="Calibri" w:hAnsi="Calibri"/>
                <w:b/>
                <w:color w:val="FFFFFF"/>
                <w:sz w:val="16"/>
              </w:rPr>
              <w:t>Date</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Test owner</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3528"/>
            <w:tcMar>
              <w:top w:w="80" w:type="dxa"/>
              <w:start w:w="110" w:type="dxa"/>
              <w:bottom w:w="80" w:type="dxa"/>
              <w:end w:w="110" w:type="dxa"/>
            </w:tcMar>
            <w:vAlign w:val="center"/>
          </w:tcPr>
          <w:p>
            <w:pPr>
              <w:widowControl/>
              <w:spacing w:after="0"/>
            </w:pPr>
            <w:r>
              <w:rPr>
                <w:rFonts w:ascii="Calibri" w:hAnsi="Calibri"/>
                <w:b w:val="0"/>
                <w:color w:val="1F2937"/>
                <w:sz w:val="16"/>
              </w:rPr>
              <w:t>[APPROVE / REJECT]</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r>
        <w:trPr>
          <w:cantSplit/>
        </w:trPr>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System/business owner</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c>
          <w:tcPr>
            <w:tcW w:type="dxa" w:w="3528"/>
            <w:tcMar>
              <w:top w:w="80" w:type="dxa"/>
              <w:start w:w="110" w:type="dxa"/>
              <w:bottom w:w="80" w:type="dxa"/>
              <w:end w:w="110" w:type="dxa"/>
            </w:tcMar>
            <w:vAlign w:val="center"/>
            <w:shd w:fill="F8FAFC"/>
          </w:tcPr>
          <w:p>
            <w:pPr>
              <w:widowControl/>
              <w:spacing w:after="0"/>
            </w:pPr>
            <w:r>
              <w:rPr>
                <w:rFonts w:ascii="Calibri" w:hAnsi="Calibri"/>
                <w:b w:val="0"/>
                <w:color w:val="1F2937"/>
                <w:sz w:val="16"/>
              </w:rPr>
              <w:t>[VALIDATED / CONDITIONS]</w:t>
            </w:r>
          </w:p>
        </w:tc>
        <w:tc>
          <w:tcPr>
            <w:tcW w:type="dxa" w:w="1598"/>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Compliance/risk</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3528"/>
            <w:tcMar>
              <w:top w:w="80" w:type="dxa"/>
              <w:start w:w="110" w:type="dxa"/>
              <w:bottom w:w="80" w:type="dxa"/>
              <w:end w:w="110" w:type="dxa"/>
            </w:tcMar>
            <w:vAlign w:val="center"/>
          </w:tcPr>
          <w:p>
            <w:pPr>
              <w:widowControl/>
              <w:spacing w:after="0"/>
            </w:pPr>
            <w:r>
              <w:rPr>
                <w:rFonts w:ascii="Calibri" w:hAnsi="Calibri"/>
                <w:b w:val="0"/>
                <w:color w:val="1F2937"/>
                <w:sz w:val="16"/>
              </w:rPr>
              <w:t>[REVIEWED / ESCALATE]</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bl>
    <w:p>
      <w:pPr>
        <w:widowControl/>
        <w:spacing w:after="0"/>
      </w:pPr>
    </w:p>
    <w:p>
      <w:pPr>
        <w:pStyle w:val="Heading1"/>
        <w:widowControl/>
      </w:pPr>
      <w:r>
        <w:t>Appendix B — Remediation severity guide</w:t>
      </w:r>
    </w:p>
    <w:tbl>
      <w:tblPr>
        <w:tblStyle w:val="TableGrid"/>
        <w:tblW w:type="auto" w:w="0"/>
        <w:jc w:val="center"/>
        <w:tblLayout w:type="fixed"/>
        <w:tblLook w:firstColumn="1" w:firstRow="1" w:lastColumn="0" w:lastRow="0" w:noHBand="0" w:noVBand="1" w:val="04A0"/>
      </w:tblPr>
      <w:tblGrid>
        <w:gridCol w:w="1440"/>
        <w:gridCol w:w="6048"/>
        <w:gridCol w:w="2390"/>
      </w:tblGrid>
      <w:tr>
        <w:trPr>
          <w:tblHeader w:val="true"/>
        </w:trPr>
        <w:tc>
          <w:tcPr>
            <w:tcW w:type="dxa" w:w="1440"/>
            <w:shd w:fill="17365D"/>
            <w:tcMar>
              <w:top w:w="80" w:type="dxa"/>
              <w:start w:w="110" w:type="dxa"/>
              <w:bottom w:w="80" w:type="dxa"/>
              <w:end w:w="110" w:type="dxa"/>
            </w:tcMar>
            <w:vAlign w:val="center"/>
          </w:tcPr>
          <w:p>
            <w:pPr>
              <w:widowControl/>
            </w:pPr>
            <w:r>
              <w:rPr>
                <w:rFonts w:ascii="Calibri" w:hAnsi="Calibri"/>
                <w:b/>
                <w:color w:val="FFFFFF"/>
                <w:sz w:val="15"/>
              </w:rPr>
              <w:t>Severity</w:t>
            </w:r>
          </w:p>
        </w:tc>
        <w:tc>
          <w:tcPr>
            <w:tcW w:type="dxa" w:w="6048"/>
            <w:shd w:fill="17365D"/>
            <w:tcMar>
              <w:top w:w="80" w:type="dxa"/>
              <w:start w:w="110" w:type="dxa"/>
              <w:bottom w:w="80" w:type="dxa"/>
              <w:end w:w="110" w:type="dxa"/>
            </w:tcMar>
            <w:vAlign w:val="center"/>
          </w:tcPr>
          <w:p>
            <w:pPr>
              <w:widowControl/>
            </w:pPr>
            <w:r>
              <w:rPr>
                <w:rFonts w:ascii="Calibri" w:hAnsi="Calibri"/>
                <w:b/>
                <w:color w:val="FFFFFF"/>
                <w:sz w:val="15"/>
              </w:rPr>
              <w:t>Illustrative criterion</w:t>
            </w:r>
          </w:p>
        </w:tc>
        <w:tc>
          <w:tcPr>
            <w:tcW w:type="dxa" w:w="2390"/>
            <w:shd w:fill="17365D"/>
            <w:tcMar>
              <w:top w:w="80" w:type="dxa"/>
              <w:start w:w="110" w:type="dxa"/>
              <w:bottom w:w="80" w:type="dxa"/>
              <w:end w:w="110" w:type="dxa"/>
            </w:tcMar>
            <w:vAlign w:val="center"/>
          </w:tcPr>
          <w:p>
            <w:pPr>
              <w:widowControl/>
            </w:pPr>
            <w:r>
              <w:rPr>
                <w:rFonts w:ascii="Calibri" w:hAnsi="Calibri"/>
                <w:b/>
                <w:color w:val="FFFFFF"/>
                <w:sz w:val="15"/>
              </w:rPr>
              <w:t>Target / escalation</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5"/>
              </w:rPr>
              <w:t>Critical</w:t>
            </w:r>
          </w:p>
        </w:tc>
        <w:tc>
          <w:tcPr>
            <w:tcW w:type="dxa" w:w="6048"/>
            <w:tcMar>
              <w:top w:w="80" w:type="dxa"/>
              <w:start w:w="110" w:type="dxa"/>
              <w:bottom w:w="80" w:type="dxa"/>
              <w:end w:w="110" w:type="dxa"/>
            </w:tcMar>
            <w:vAlign w:val="center"/>
          </w:tcPr>
          <w:p>
            <w:pPr>
              <w:widowControl/>
              <w:spacing w:after="0"/>
            </w:pPr>
            <w:r>
              <w:rPr>
                <w:rFonts w:ascii="Calibri" w:hAnsi="Calibri"/>
                <w:b w:val="0"/>
                <w:color w:val="1F2937"/>
                <w:sz w:val="15"/>
              </w:rPr>
              <w:t>Immediate material threat to critical function, data or regulatory duty; no adequate control.</w:t>
            </w:r>
          </w:p>
        </w:tc>
        <w:tc>
          <w:tcPr>
            <w:tcW w:type="dxa" w:w="2390"/>
            <w:tcMar>
              <w:top w:w="80" w:type="dxa"/>
              <w:start w:w="110" w:type="dxa"/>
              <w:bottom w:w="80" w:type="dxa"/>
              <w:end w:w="110" w:type="dxa"/>
            </w:tcMar>
            <w:vAlign w:val="center"/>
          </w:tcPr>
          <w:p>
            <w:pPr>
              <w:widowControl/>
              <w:spacing w:after="0"/>
            </w:pPr>
            <w:r>
              <w:rPr>
                <w:rFonts w:ascii="Calibri" w:hAnsi="Calibri"/>
                <w:b w:val="0"/>
                <w:color w:val="1F2937"/>
                <w:sz w:val="15"/>
              </w:rPr>
              <w:t>Immediate containment; executive/board escalation; urgent retest.</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5"/>
              </w:rPr>
              <w:t>High</w:t>
            </w:r>
          </w:p>
        </w:tc>
        <w:tc>
          <w:tcPr>
            <w:tcW w:type="dxa" w:w="6048"/>
            <w:tcMar>
              <w:top w:w="80" w:type="dxa"/>
              <w:start w:w="110" w:type="dxa"/>
              <w:bottom w:w="80" w:type="dxa"/>
              <w:end w:w="110" w:type="dxa"/>
            </w:tcMar>
            <w:vAlign w:val="center"/>
            <w:shd w:fill="F8FAFC"/>
          </w:tcPr>
          <w:p>
            <w:pPr>
              <w:widowControl/>
              <w:spacing w:after="0"/>
            </w:pPr>
            <w:r>
              <w:rPr>
                <w:rFonts w:ascii="Calibri" w:hAnsi="Calibri"/>
                <w:b w:val="0"/>
                <w:color w:val="1F2937"/>
                <w:sz w:val="15"/>
              </w:rPr>
              <w:t>Likely material impact or major control failure.</w:t>
            </w:r>
          </w:p>
        </w:tc>
        <w:tc>
          <w:tcPr>
            <w:tcW w:type="dxa" w:w="2390"/>
            <w:tcMar>
              <w:top w:w="80" w:type="dxa"/>
              <w:start w:w="110" w:type="dxa"/>
              <w:bottom w:w="80" w:type="dxa"/>
              <w:end w:w="110" w:type="dxa"/>
            </w:tcMar>
            <w:vAlign w:val="center"/>
            <w:shd w:fill="F8FAFC"/>
          </w:tcPr>
          <w:p>
            <w:pPr>
              <w:widowControl/>
              <w:spacing w:after="0"/>
            </w:pPr>
            <w:r>
              <w:rPr>
                <w:rFonts w:ascii="Calibri" w:hAnsi="Calibri"/>
                <w:b w:val="0"/>
                <w:color w:val="1F2937"/>
                <w:sz w:val="15"/>
              </w:rPr>
              <w:t>Time-bound remediation; management monitoring; retest.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5"/>
              </w:rPr>
              <w:t>Medium</w:t>
            </w:r>
          </w:p>
        </w:tc>
        <w:tc>
          <w:tcPr>
            <w:tcW w:type="dxa" w:w="6048"/>
            <w:tcMar>
              <w:top w:w="80" w:type="dxa"/>
              <w:start w:w="110" w:type="dxa"/>
              <w:bottom w:w="80" w:type="dxa"/>
              <w:end w:w="110" w:type="dxa"/>
            </w:tcMar>
            <w:vAlign w:val="center"/>
          </w:tcPr>
          <w:p>
            <w:pPr>
              <w:widowControl/>
              <w:spacing w:after="0"/>
            </w:pPr>
            <w:r>
              <w:rPr>
                <w:rFonts w:ascii="Calibri" w:hAnsi="Calibri"/>
                <w:b w:val="0"/>
                <w:color w:val="1F2937"/>
                <w:sz w:val="15"/>
              </w:rPr>
              <w:t>Meaningful weakness with limited current exposure or compensating control.</w:t>
            </w:r>
          </w:p>
        </w:tc>
        <w:tc>
          <w:tcPr>
            <w:tcW w:type="dxa" w:w="2390"/>
            <w:tcMar>
              <w:top w:w="80" w:type="dxa"/>
              <w:start w:w="110" w:type="dxa"/>
              <w:bottom w:w="80" w:type="dxa"/>
              <w:end w:w="110" w:type="dxa"/>
            </w:tcMar>
            <w:vAlign w:val="center"/>
          </w:tcPr>
          <w:p>
            <w:pPr>
              <w:widowControl/>
              <w:spacing w:after="0"/>
            </w:pPr>
            <w:r>
              <w:rPr>
                <w:rFonts w:ascii="Calibri" w:hAnsi="Calibri"/>
                <w:b w:val="0"/>
                <w:color w:val="1F2937"/>
                <w:sz w:val="15"/>
              </w:rPr>
              <w:t>Planned remediation and verification.</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5"/>
              </w:rPr>
              <w:t>Low</w:t>
            </w:r>
          </w:p>
        </w:tc>
        <w:tc>
          <w:tcPr>
            <w:tcW w:type="dxa" w:w="6048"/>
            <w:tcMar>
              <w:top w:w="80" w:type="dxa"/>
              <w:start w:w="110" w:type="dxa"/>
              <w:bottom w:w="80" w:type="dxa"/>
              <w:end w:w="110" w:type="dxa"/>
            </w:tcMar>
            <w:vAlign w:val="center"/>
            <w:shd w:fill="F8FAFC"/>
          </w:tcPr>
          <w:p>
            <w:pPr>
              <w:widowControl/>
              <w:spacing w:after="0"/>
            </w:pPr>
            <w:r>
              <w:rPr>
                <w:rFonts w:ascii="Calibri" w:hAnsi="Calibri"/>
                <w:b w:val="0"/>
                <w:color w:val="1F2937"/>
                <w:sz w:val="15"/>
              </w:rPr>
              <w:t>Minor improvement or hygiene issue.</w:t>
            </w:r>
          </w:p>
        </w:tc>
        <w:tc>
          <w:tcPr>
            <w:tcW w:type="dxa" w:w="2390"/>
            <w:tcMar>
              <w:top w:w="80" w:type="dxa"/>
              <w:start w:w="110" w:type="dxa"/>
              <w:bottom w:w="80" w:type="dxa"/>
              <w:end w:w="110" w:type="dxa"/>
            </w:tcMar>
            <w:vAlign w:val="center"/>
            <w:shd w:fill="F8FAFC"/>
          </w:tcPr>
          <w:p>
            <w:pPr>
              <w:widowControl/>
              <w:spacing w:after="0"/>
            </w:pPr>
            <w:r>
              <w:rPr>
                <w:rFonts w:ascii="Calibri" w:hAnsi="Calibri"/>
                <w:b w:val="0"/>
                <w:color w:val="1F2937"/>
                <w:sz w:val="15"/>
              </w:rPr>
              <w:t>Track through normal control cycle.</w:t>
            </w:r>
          </w:p>
        </w:tc>
      </w:tr>
    </w:tbl>
    <w:p>
      <w:pPr>
        <w:widowControl/>
        <w:spacing w:after="0"/>
      </w:pPr>
    </w:p>
    <w:p>
      <w:pPr>
        <w:pStyle w:val="Heading1"/>
        <w:widowControl/>
      </w:pPr>
      <w:r>
        <w:t>Appendix C — TLPT activation checklist</w:t>
      </w:r>
    </w:p>
    <w:tbl>
      <w:tblPr>
        <w:tblW w:type="auto" w:w="0"/>
        <w:jc w:val="center"/>
        <w:tblLayout w:type="fixed"/>
        <w:tblLook w:firstColumn="1" w:firstRow="1" w:lastColumn="0" w:lastRow="0" w:noHBand="0" w:noVBand="1" w:val="04A0"/>
      </w:tblPr>
      <w:tblGrid>
        <w:gridCol w:w="158"/>
        <w:gridCol w:w="9720"/>
      </w:tblGrid>
      <w:tr>
        <w:tc>
          <w:tcPr>
            <w:tcW w:type="dxa" w:w="158"/>
            <w:shd w:fill="B7791F"/>
            <w:tcMar>
              <w:top w:w="0" w:type="dxa"/>
              <w:start w:w="0" w:type="dxa"/>
              <w:bottom w:w="0" w:type="dxa"/>
              <w:end w:w="0" w:type="dxa"/>
            </w:tcMar>
            <w:vAlign w:val="center"/>
          </w:tcPr>
          <w:p>
            <w:pPr>
              <w:widowControl/>
            </w:pPr>
          </w:p>
        </w:tc>
        <w:tc>
          <w:tcPr>
            <w:tcW w:type="dxa" w:w="9720"/>
            <w:shd w:fill="FFF9E6"/>
            <w:tcMar>
              <w:top w:w="100" w:type="dxa"/>
              <w:start w:w="145" w:type="dxa"/>
              <w:bottom w:w="100" w:type="dxa"/>
              <w:end w:w="145" w:type="dxa"/>
            </w:tcMar>
            <w:vAlign w:val="center"/>
          </w:tcPr>
          <w:p>
            <w:pPr>
              <w:widowControl/>
            </w:pPr>
            <w:r>
              <w:rPr>
                <w:rFonts w:ascii="Calibri" w:hAnsi="Calibri"/>
                <w:b/>
                <w:color w:val="B7791F"/>
                <w:sz w:val="17"/>
              </w:rPr>
              <w:t>CONDITIONAL REQUIREMENT</w:t>
            </w:r>
            <w:r>
              <w:rPr>
                <w:rFonts w:ascii="Calibri" w:hAnsi="Calibri"/>
              </w:rPr>
              <w:br/>
              <w:t>Do not treat the absence of current designation as permanent. Compliance shall monitor Central Bank designation and material changes. If designated, open a separate controlled TLPT project under RTS 2025/1190; this baseline pack is not a substitute.</w:t>
            </w:r>
          </w:p>
        </w:tc>
      </w:tr>
    </w:tbl>
    <w:p>
      <w:pPr>
        <w:widowControl/>
        <w:spacing w:after="0"/>
      </w:pPr>
    </w:p>
    <w:p>
      <w:pPr>
        <w:pStyle w:val="ListBullet"/>
        <w:widowControl/>
        <w:ind w:left="461"/>
      </w:pPr>
      <w:r>
        <w:t>Record competent-authority designation or other trigger and deadline.</w:t>
      </w:r>
    </w:p>
    <w:p>
      <w:pPr>
        <w:pStyle w:val="ListBullet"/>
        <w:widowControl/>
        <w:ind w:left="461"/>
      </w:pPr>
      <w:r>
        <w:t>Appoint TLPT control team and test managers; establish confidentiality and risk management.</w:t>
      </w:r>
    </w:p>
    <w:p>
      <w:pPr>
        <w:pStyle w:val="ListBullet"/>
        <w:widowControl/>
        <w:ind w:left="461"/>
      </w:pPr>
      <w:r>
        <w:t>Select qualified threat-intelligence and red-team providers; address independence and conflicts.</w:t>
      </w:r>
    </w:p>
    <w:p>
      <w:pPr>
        <w:pStyle w:val="ListBullet"/>
        <w:widowControl/>
        <w:ind w:left="461"/>
      </w:pPr>
      <w:r>
        <w:t>Agree scope, production systems, providers, rules of engagement and authority coordination.</w:t>
      </w:r>
    </w:p>
    <w:p>
      <w:pPr>
        <w:pStyle w:val="ListBullet"/>
        <w:widowControl/>
        <w:ind w:left="461"/>
      </w:pPr>
      <w:r>
        <w:t>Manage preparation, threat intelligence, red-team execution, closure, remediation, attestation and mutual recognition.</w:t>
      </w:r>
    </w:p>
    <w:p>
      <w:pPr>
        <w:widowControl/>
      </w:pPr>
      <w:r>
        <w:br w:type="page"/>
      </w:r>
    </w:p>
    <w:p>
      <w:pPr>
        <w:pStyle w:val="Heading1"/>
        <w:widowControl/>
      </w:pPr>
      <w:r>
        <w:t>Requirements addressed by this deliverable</w:t>
      </w:r>
    </w:p>
    <w:p>
      <w:pPr>
        <w:widowControl/>
      </w:pPr>
      <w:r>
        <w:t>This schedule is generated from the suite’s controlling traceability dataset. Primary and supporting mappings must be reconciled whenever this document changes. 70 requirement records are associated with D08.</w:t>
      </w:r>
    </w:p>
    <w:tbl>
      <w:tblPr>
        <w:tblStyle w:val="TableGrid"/>
        <w:tblW w:type="auto" w:w="0"/>
        <w:jc w:val="center"/>
        <w:tblLayout w:type="fixed"/>
        <w:tblLook w:firstColumn="1" w:firstRow="1" w:lastColumn="0" w:lastRow="0" w:noHBand="0" w:noVBand="1" w:val="04A0"/>
      </w:tblPr>
      <w:tblGrid>
        <w:gridCol w:w="1512"/>
        <w:gridCol w:w="1800"/>
        <w:gridCol w:w="1584"/>
        <w:gridCol w:w="2232"/>
        <w:gridCol w:w="2750"/>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3"/>
              </w:rPr>
              <w:t>ID</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3"/>
              </w:rPr>
              <w:t>Reference</w:t>
            </w:r>
          </w:p>
        </w:tc>
        <w:tc>
          <w:tcPr>
            <w:tcW w:type="dxa" w:w="1584"/>
            <w:shd w:fill="17365D"/>
            <w:tcMar>
              <w:top w:w="80" w:type="dxa"/>
              <w:start w:w="110" w:type="dxa"/>
              <w:bottom w:w="80" w:type="dxa"/>
              <w:end w:w="110" w:type="dxa"/>
            </w:tcMar>
            <w:vAlign w:val="center"/>
          </w:tcPr>
          <w:p>
            <w:pPr>
              <w:widowControl/>
            </w:pPr>
            <w:r>
              <w:rPr>
                <w:rFonts w:ascii="Calibri" w:hAnsi="Calibri"/>
                <w:b/>
                <w:color w:val="FFFFFF"/>
                <w:sz w:val="13"/>
              </w:rPr>
              <w:t>Applicability</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3"/>
              </w:rPr>
              <w:t>Location / role</w:t>
            </w:r>
          </w:p>
        </w:tc>
        <w:tc>
          <w:tcPr>
            <w:tcW w:type="dxa" w:w="2750"/>
            <w:shd w:fill="17365D"/>
            <w:tcMar>
              <w:top w:w="80" w:type="dxa"/>
              <w:start w:w="110" w:type="dxa"/>
              <w:bottom w:w="80" w:type="dxa"/>
              <w:end w:w="110" w:type="dxa"/>
            </w:tcMar>
            <w:vAlign w:val="center"/>
          </w:tcPr>
          <w:p>
            <w:pPr>
              <w:widowControl/>
            </w:pPr>
            <w:r>
              <w:rPr>
                <w:rFonts w:ascii="Calibri" w:hAnsi="Calibri"/>
                <w:b/>
                <w:color w:val="FFFFFF"/>
                <w:sz w:val="13"/>
              </w:rPr>
              <w:t>Requirement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16(1)(g)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3–8 — Risk-based testing programme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test, on a regular basis, the plans and measures referred to in point (f), as well as the effectiveness of the controls implemented in accordance with points (a) and (c);</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DORA-A24-P1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24(1)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3–8 and Test Catalogue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 of assessing preparedness for handling ICT-related incidents, of identifying weaknesses, deficiencies and gaps in digital operational resilience, and of promptly implementing corrective measures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DORA-A24-P2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24(2)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3–8 and Test Catalogue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digital operational resilience testing programme shall include a range of assessments, tests, methodologies, practices and tools to be applied in accordance with Articles 25 and 26.</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DORA-A24-P3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24(3)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3–8 and Test Catalogue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When conducting the digital operational resilience testing programme referred to in paragraph 1 of this Article, financial entities, other than microenterprises, shall follow a risk-based approach taking into 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DORA-A24-P4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24(4)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3–8 and Test Catalogue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other than microenterprises, shall ensure that tests are undertaken by independent parties, whether internal or external. Where tests are undertaken by an internal tester, financial entities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DORA-A24-P5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24(5)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3–8 and Test Catalogue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other than microenterprises, shall establish procedures and policies to prioritise, classify and remedy all issues revealed throughout the performance of the tests and shall establish intern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DORA-A24-P6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24(6)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3–8 and Test Catalogue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other than microenterprises, shall ensure, at least yearly, that appropriate tests are conducted on all ICT systems and applications supporting critical or important functions.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DORA-A25-P1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25(1)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3–8 and Test Catalogue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digital operational resilience testing programme referred to in Article 24 shall provide, in accordance with the criteria set out in Article 4(2), for the execution of appropriate tests, such as vulnerabili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DORA-A25-P2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25(2)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3–8 and Test Catalogue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Central securities depositories and central counterparties shall perform vulnerability assessments before any deployment or redeployment of new or existing applications and infrastructure components, and ICT se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DORA-A25-P3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25(3)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3–8 and Test Catalogue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Microenterprises shall perform the tests referred to in paragraph 1 by combining a risk-based approach with a strategic planning of ICT testing, by duly considering the need to maintain a balanced approach betw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other than entities referred to in Article 16(1), first subparagraph, and other than microenterprises, which are identified in accordance with paragraph 8, third subparagraph, of this Articl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 the absence of a designation in accordance with paragraph 9 of this Article, and without prejudice to the power to identify the financial entities that are required to perform TLPT, a competent authority may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in agreement with the ECB, develop joint draft regulatory technical standards in accordance with the TIBER-EU framework in order to specify further: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DORA-A26-P11-22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When developing those draft regulatory technical standards, the ESAs shall give due consideration to any specific feature arising from the distinct nature of activities across different financial services secto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DORA-A26-P11-23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submit those draft regulatory technical standards to the Commission by 17 July 2024.</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DORA-A26-P11-24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Power is delegated to the Commission to supplement this Regulation by adopting the regulatory technical standards referred to in the first subparagraph in accordance with Articles 10 to 14 of Regulations (EU) 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criteria used for the purpose of the application of paragraph 8, second subparagraph;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requirements and standards governing the use of internal testers;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requirements in relation to: (i) the scope of TLPT referred to in paragraph 2; (ii) the testing methodology and approach to be followed for each specific phase of the testing process; (iii) the results, clo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type of supervisory and other relevant cooperation which are needed for the implementation of TLPT, and for the facilitation of mutual recognition of that testing, in the context of financial entities that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Each threat-led penetration test shall cover several or all critical or important functions of a financial entity, and shall be performed on live production systems supporting such functions.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identify all relevant underlying ICT systems, processes and technologies supporting critical or important functions and ICT services, including those supporting the critical or importan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DORA-A26-P2-4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assess which critical or important functions need to be covered by the TLPT. The result of this assessment shall determine the precise scope of TLPT and shall be validated by the compet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ICT third-party service providers are included in the scope of TLPT, the financial entity shall take the necessary measures and safeguards to ensure the participation of such ICT third-party service provi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Without prejudice to paragraph 2, first and second subparagraphs, where the participation of an ICT third-party service provider in the TLPT, referred to in paragraph 3, is reasonably expected to have an advers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DORA-A26-P4-7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That pooled testing shall cover the relevant range of ICT services supporting critical or important functions contracted to the respective ICT third-party service provider by the financial entities. The pooled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DORA-A26-P4-8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number of financial entities participating in the pooled testing shall be duly calibrated taking into account the complexity and types of services involved.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with the cooperation of ICT third-party service providers and other parties involved, including the testers but excluding the competent authorities, apply effective risk management con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At the end of the testing, after reports and remediation plans have been agreed, the financial entity and, where applicable, the external testers shall provide to the authority, designated in accordance with pa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26(7)</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Authorities shall provide financial entities with an attestation confirming that the test was performed in accordance with the requirements as evidenced in the documentation in order to allow for mutual recogni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DORA-A26-P7-12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26(7)</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Without prejudice to such attestation, financial entities shall remain at all times fully responsible for the impact of the tests referred to in paragraph 4.</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contract testers for the purposes of undertaking TLPT in accordance with Article 27. When financial entities use internal testers for the purposes of undertaking TLPT, they shall contra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DORA-A26-P8-14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Credit institutions that are classified as significant in accordance with Article 6(4) of Regulation (EU) No 1024/2013, shall only use external testers in accordance with Article 27(1), points (a) to (e).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DORA-A26-P8-15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Competent authorities shall identify financial entities that are required to perform TLPT taking into account the criteria set out in Article 4(2), based on an assessment of the following:</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DORA-A26-P8-A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26(8)(a)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impact-related factors, in particular the extent to which the services provided and activities undertaken by the financial entity impact the financial sector;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DORA-A26-P8-B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26(8)(b)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possible financial stability concerns, including the systemic character of the financial entity at Union or national level, as applicable;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DORA-A26-P8-C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26(8)(c)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specific ICT risk profile, level of ICT maturity of the financial entity or technology features involved.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26(9)</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Member States may designate a single public authority in the financial sector to be responsible for TLPT-related matters in the financial sector at national level and shall entrust it with all competences and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only use testers for the carrying out of TLPT, that: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are of the highest suitability and reputability;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possess technical and organisational capabilities and demonstrate specific expertise in threat intelligence, penetration testing and red team testing;</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are certified by an accreditation body in a Member State or adhere to formal codes of conduct or ethical frameworks;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provide an independent assurance, or an audit report, in relation to the sound management of risks associated with the carrying out of TLPT, including the due protection of the financial entity’s confidential 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are duly and fully covered by relevant professional indemnity insurances, including against risks of misconduct and negligence.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When using internal testers, financial entities shall ensure that, in addition to the requirements in paragraph 1, the following conditions are met: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27(2)(a)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such use has been approved by the relevant competent authority or by the single public authority designated in accordance with Article 26(9) and (10);</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27(2)(b)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relevant competent authority has verified that the financial entity has sufficient dedicated resources and ensured that conflicts of interest are avoided throughout the design and execution phases of the te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27(2)(c)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threat intelligence provider is external to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Financial entities shall ensure that contracts concluded with external testers require a sound management of the TLPT results and that any data processing thereof, including any generation, store, aggregation,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Following the approval of the scope specification document by the TLPT authority, the threat intelligence provider shall analyse generic and sector-specific threat intelligence relevant for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Following approval of the targeted threat intelligence report by the TLPT authority, the testers shall prepare the red team test plan that shall contain the information set out in Annex IV. The testers shall us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Following the end of the active red team testing phase, the control team lead shall inform the blue team that a TLPT took place. Within 4 weeks from the end of the active red team testing phase, the testers sha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RTS1190-A13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13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Within 8 weeks from the notification referred to in Article 12(7) of this Regulation, the financial entity shall provide the remediation plans and the documentation referred to in Article 26(6) of Regulation (E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attestation referred to in Article 26(7) of Regulation (EU) 2022/2554 shall contain the information set out in Annex VIII. Where several TLPT authorities have been involved in a TLPT, the lead TLPT authorit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RTS1190-A15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15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establish all of the following arrangements for the use of internal testers: The policy referred to in point (a) shall: the establishment and implementation of a policy for the manageme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purposes of conducting a TLPT in relation to a financial entity providing services in more than one Member State, including through a branch, its TLPT authority shall: The TLPT authorities of the host M</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TLPT authorities shall assess whether any financial entity is required to perform TLPT, taking into account the impact of those financial entities, their systemic character and their ICT risk profile, on the ba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TLPT authority shall assign the responsibility for coordinating TLPT-related activities to a TCT. A TCT shall be composed of test managers that are assigned to oversee an individual TLPT. For each test, the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appoint a control team lead which shall be responsible for the day-to-day management of the TLPT and the decisions and actions of the control team. Financial entities shall establish or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During the preparation phase referred to in Article 9, the control team shall assess the risks associated with the testing of live production systems of critical or important functions of the financial entity,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 the case of a joint TLPT or a pooled TLPT, the control team of each financial entity shall conduct its own risk assessment and establish its own risk management measures. The control team of the designated f</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7</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control team shall take measures to manage the risks relating to the TLPT and shall in particular ensure that, for each TLPT: the threat intelligence provider and external testers provide the control team 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Unless otherwise decided by the lead TLPT authority, where several financial entities, identified in accordance with Article 16(2) or (4), are involved in a pooled or joint TLPT, each financial entity shall fol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9</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Appendix C — TLPT activation checklist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financial entity identified pursuant to Article 26, paragraph 8, third subparagraph of Regulation (EU) 2022/2554 shall initiate a TLPT following a notification from the TLPT authority that a TLPT is to be car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RTS1774-A36-P1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36(1)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3–8 — ICT security testing</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Article 16(1) of Regulation (EU) 2022/2554 shall establish and implement an ICT security testing plan to validate the effectiveness of their ICT security measures developed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RTS1774-A36-P2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36(2)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3–8 — ICT security testing</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shall review, asses and test ICT security measures, taking into consideration the overall risk profile of the ICT assets of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RTS1774-A36-P3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36(3)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3–8 — ICT security testing</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paragraph 1 shall monitor and evaluate the results of the security tests and update their security measures accordingly without undue delay in the case of ICT systems suppo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RTS1774-A40-P1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40(1)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5 and continuity test scripts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Article 16(1) of Regulation (EU) 2022/2554 shall test their business continuity plans referred to in Article 39 of this Regulation, including the scenarios referred to in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RTS1774-A40-P2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40(2)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5 and continuity test scripts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testing of business continuity plans referred to in paragraph 1 shall demonstrate that the financial entities referred to in that paragraph are able to sustain the viability of their businesses until critic</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RTS1774-A40-P3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40(3)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5 and continuity test scripts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shall document the results of the testing of business continuity plans and any identified deficiencies resulting from that testing shall be analysed, addressed,</w:t>
            </w:r>
          </w:p>
        </w:tc>
      </w:tr>
    </w:tbl>
    <w:p>
      <w:pPr>
        <w:widowControl/>
        <w:spacing w:after="0"/>
      </w:pPr>
    </w:p>
    <w:p>
      <w:pPr>
        <w:pStyle w:val="Heading1"/>
        <w:widowControl/>
      </w:pPr>
      <w:r>
        <w:t>Official source register</w:t>
      </w:r>
    </w:p>
    <w:tbl>
      <w:tblPr>
        <w:tblStyle w:val="TableGrid"/>
        <w:tblW w:type="auto" w:w="0"/>
        <w:jc w:val="center"/>
        <w:tblLayout w:type="fixed"/>
        <w:tblLook w:firstColumn="1" w:firstRow="1" w:lastColumn="0" w:lastRow="0" w:noHBand="0" w:noVBand="1" w:val="04A0"/>
      </w:tblPr>
      <w:tblGrid>
        <w:gridCol w:w="3528"/>
        <w:gridCol w:w="6350"/>
      </w:tblGrid>
      <w:tr>
        <w:trPr>
          <w:tblHeader w:val="true"/>
        </w:trPr>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Source</w:t>
            </w:r>
          </w:p>
        </w:tc>
        <w:tc>
          <w:tcPr>
            <w:tcW w:type="dxa" w:w="6350"/>
            <w:shd w:fill="17365D"/>
            <w:tcMar>
              <w:top w:w="80" w:type="dxa"/>
              <w:start w:w="110" w:type="dxa"/>
              <w:bottom w:w="80" w:type="dxa"/>
              <w:end w:w="110" w:type="dxa"/>
            </w:tcMar>
            <w:vAlign w:val="center"/>
          </w:tcPr>
          <w:p>
            <w:pPr>
              <w:widowControl/>
            </w:pPr>
            <w:r>
              <w:rPr>
                <w:rFonts w:ascii="Calibri" w:hAnsi="Calibri"/>
                <w:b/>
                <w:color w:val="FFFFFF"/>
                <w:sz w:val="15"/>
              </w:rPr>
              <w:t>Official URL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DORA</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https://eur-lex.europa.eu/eli/reg/2022/2554/oj/eng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Simplified ICT-risk RTS 2024/1774</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https://eur-lex.europa.eu/eli/reg_del/2024/1774/oj/eng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classification RTS 2024/1772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https://eur-lex.europa.eu/eli/reg_del/2024/1772/oj/eng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Incident content/timing RTS 2025/301</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https://eur-lex.europa.eu/eli/reg_del/2025/301/oj/eng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forms ITS 2025/302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https://eur-lex.europa.eu/eli/reg_impl/2025/302/oj/eng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Register ITS 2024/2956</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https://eur-lex.europa.eu/eli/reg_impl/2024/2956/oj/eng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Subcontracting RTS 2025/532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https://eur-lex.europa.eu/eli/reg_del/2025/532/oj/eng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Icelandic Act No. 78/2025</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https://www.althingi.is/lagas/nuna/2025078.html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Central Bank Rules No. 310/2026</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https://island.is/stjornartidindi/nr/87da1483-6a2a-412a-9021-30b9a817ad51</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DORA guidance</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https://sedlabanki.is/fjarmalaeftirlit/stafraenn-vidnamsthrottur-a-fjarmalamarkadi-dora/</w:t>
            </w:r>
          </w:p>
        </w:tc>
      </w:tr>
    </w:tbl>
    <w:p>
      <w:pPr>
        <w:widowControl/>
        <w:spacing w:after="0"/>
      </w:pPr>
    </w:p>
    <w:sectPr w:rsidR="00FC693F" w:rsidRPr="0006063C" w:rsidSect="00034616">
      <w:headerReference w:type="default" r:id="rId9"/>
      <w:footerReference w:type="default" r:id="rId10"/>
      <w:pgSz w:w="12240" w:h="15840"/>
      <w:pgMar w:top="1037" w:right="1181" w:bottom="979" w:left="1181"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68"/>
      <w:gridCol w:w="3542"/>
      <w:gridCol w:w="3168"/>
    </w:tblGrid>
    <w:tr>
      <w:tc>
        <w:tcPr>
          <w:tcW w:type="dxa" w:w="3168"/>
          <w:tcMar>
            <w:top w:w="40" w:type="dxa"/>
            <w:start w:w="0" w:type="dxa"/>
            <w:bottom w:w="0" w:type="dxa"/>
            <w:end w:w="0" w:type="dxa"/>
          </w:tcMar>
        </w:tcPr>
        <w:p>
          <w:r>
            <w:rPr>
              <w:rFonts w:ascii="Calibri" w:hAnsi="Calibri"/>
              <w:b w:val="0"/>
              <w:color w:val="667085"/>
              <w:sz w:val="15"/>
            </w:rPr>
            <w:t>[FIRM NAME]</w:t>
          </w:r>
        </w:p>
      </w:tc>
      <w:tc>
        <w:tcPr>
          <w:tcW w:type="dxa" w:w="3542"/>
          <w:tcMar>
            <w:top w:w="40" w:type="dxa"/>
            <w:start w:w="0" w:type="dxa"/>
            <w:bottom w:w="0" w:type="dxa"/>
            <w:end w:w="0" w:type="dxa"/>
          </w:tcMar>
        </w:tcPr>
        <w:p>
          <w:pPr>
            <w:jc w:val="center"/>
          </w:pPr>
          <w:r>
            <w:rPr>
              <w:rFonts w:ascii="Calibri" w:hAnsi="Calibri"/>
              <w:b w:val="0"/>
              <w:color w:val="667085"/>
              <w:sz w:val="15"/>
            </w:rPr>
            <w:t>CONFIDENTIAL — CONTROLLED TEMPLATE</w:t>
          </w:r>
        </w:p>
      </w:tc>
      <w:tc>
        <w:tcPr>
          <w:tcW w:type="dxa" w:w="3168"/>
          <w:tcMar>
            <w:top w:w="40" w:type="dxa"/>
            <w:start w:w="0" w:type="dxa"/>
            <w:bottom w:w="0" w:type="dxa"/>
            <w:end w:w="0" w:type="dxa"/>
          </w:tcMar>
        </w:tcPr>
        <w:p>
          <w:pPr>
            <w:jc w:val="right"/>
          </w:pPr>
          <w:r>
            <w:rPr>
              <w:rFonts w:ascii="Calibri" w:hAnsi="Calibri"/>
              <w:b w:val="0"/>
              <w:color w:val="667085"/>
              <w:sz w:val="15"/>
            </w:rPr>
            <w:t xml:space="preserve">Page </w:t>
          </w:r>
          <w:r>
            <w:fldChar w:fldCharType="begin"/>
            <w:instrText xml:space="preserve">PAGE</w:instrText>
            <w:fldChar w:fldCharType="end"/>
          </w:r>
          <w:r>
            <w:rPr>
              <w:rFonts w:ascii="Calibri" w:hAnsi="Calibri"/>
              <w:b w:val="0"/>
              <w:color w:val="667085"/>
              <w:sz w:val="15"/>
            </w:rPr>
            <w:t xml:space="preserve"> of </w:t>
          </w:r>
          <w:r>
            <w:fldChar w:fldCharType="begin"/>
            <w:instrText xml:space="preserve">NUMPAGES</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5"/>
      </w:rPr>
      <w:t>D08  |  DIGITAL OPERATIONAL RESILIENCE TESTING PROGRAMME &amp; REPORTS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461" w:hanging="259"/>
      <w:contextualSpacing/>
    </w:pPr>
    <w:rPr>
      <w:rFonts w:ascii="Calibri" w:hAnsi="Calibri"/>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ind w:left="461" w:hanging="259"/>
      <w:contextualSpacing/>
    </w:pPr>
    <w:rPr>
      <w:rFonts w:ascii="Calibri" w:hAnsi="Calibri"/>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raftingNote">
    <w:name w:val="Drafting Note"/>
    <w:pPr>
      <w:spacing w:after="80"/>
    </w:pPr>
    <w:rPr>
      <w:rFonts w:ascii="Calibri" w:hAnsi="Calibri"/>
      <w:i/>
      <w:color w:val="667085"/>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Operational Resilience Testing Programme &amp; Reports</dc:title>
  <dc:subject>Reusable internal template for an SNI investment firm</dc:subject>
  <dc:creator>DORA SNI Documentation &amp; Implementation Suite v1.0</dc:creator>
  <cp:keywords/>
  <dc:description>generated by python-docx</dc:description>
  <cp:lastModifiedBy/>
  <cp:revision>1</cp:revision>
  <dcterms:created xsi:type="dcterms:W3CDTF">2013-12-23T23:15:00Z</dcterms:created>
  <dcterms:modified xsi:type="dcterms:W3CDTF">2013-12-23T23:15:00Z</dcterms:modified>
  <cp:category/>
</cp:coreProperties>
</file>