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after="720"/>
      </w:pPr>
    </w:p>
    <w:p>
      <w:pPr>
        <w:widowControl/>
        <w:spacing w:after="240"/>
      </w:pPr>
      <w:r>
        <w:rPr>
          <w:rFonts w:ascii="Calibri" w:hAnsi="Calibri"/>
          <w:b/>
          <w:color w:val="0F6B78"/>
          <w:sz w:val="34"/>
        </w:rPr>
        <w:t>D06</w:t>
      </w:r>
    </w:p>
    <w:p>
      <w:pPr>
        <w:widowControl/>
        <w:spacing w:after="240" w:line="235" w:lineRule="auto"/>
      </w:pPr>
      <w:r>
        <w:rPr>
          <w:rFonts w:ascii="Calibri" w:hAnsi="Calibri"/>
          <w:b/>
          <w:color w:val="17365D"/>
          <w:sz w:val="54"/>
        </w:rPr>
        <w:t>ICT Incident Management &amp; DORA Reporting Procedure</w:t>
      </w:r>
    </w:p>
    <w:p>
      <w:pPr>
        <w:widowControl/>
        <w:spacing w:after="560"/>
      </w:pPr>
      <w:r>
        <w:rPr>
          <w:rFonts w:ascii="Calibri" w:hAnsi="Calibri"/>
          <w:b/>
          <w:color w:val="FFFFFF"/>
          <w:sz w:val="20"/>
          <w:shd w:fill="0F6B78"/>
        </w:rPr>
        <w:t>INCIDENT PROCEDURE &amp; REPORTING RUNBOOK</w:t>
      </w:r>
    </w:p>
    <w:tbl>
      <w:tblPr>
        <w:tblW w:type="auto" w:w="0"/>
        <w:jc w:val="left"/>
        <w:tblLayout w:type="fixed"/>
        <w:tblLook w:firstColumn="1" w:firstRow="1" w:lastColumn="0" w:lastRow="0" w:noHBand="0" w:noVBand="1" w:val="04A0"/>
      </w:tblPr>
      <w:tblGrid>
        <w:gridCol w:w="2448"/>
        <w:gridCol w:w="7430"/>
      </w:tblGrid>
      <w:tr>
        <w:trPr>
          <w:tblHeader w:val="true"/>
        </w:trPr>
        <w:tc>
          <w:tcPr>
            <w:tcW w:type="dxa" w:w="2448"/>
            <w:shd w:fill="E8EEF5"/>
            <w:tcMar>
              <w:top w:w="90" w:type="dxa"/>
              <w:start w:w="120" w:type="dxa"/>
              <w:bottom w:w="90" w:type="dxa"/>
              <w:end w:w="120" w:type="dxa"/>
            </w:tcMar>
            <w:vAlign w:val="center"/>
          </w:tcPr>
          <w:p>
            <w:pPr>
              <w:widowControl/>
              <w:spacing w:before="0" w:after="30" w:line="240" w:lineRule="auto"/>
            </w:pPr>
            <w:r>
              <w:rPr>
                <w:rFonts w:ascii="Arial" w:hAnsi="Arial"/>
                <w:b w:val="0"/>
                <w:color w:val="2D3741"/>
                <w:sz w:val="16"/>
              </w:rPr>
              <w:t>ENTITY</w:t>
            </w:r>
          </w:p>
        </w:tc>
        <w:tc>
          <w:tcPr>
            <w:tcW w:type="dxa" w:w="7430"/>
            <w:tcMar>
              <w:top w:w="90" w:type="dxa"/>
              <w:start w:w="120" w:type="dxa"/>
              <w:bottom w:w="90" w:type="dxa"/>
              <w:end w:w="120" w:type="dxa"/>
            </w:tcMar>
            <w:vAlign w:val="center"/>
          </w:tcPr>
          <w:p>
            <w:pPr>
              <w:widowControl/>
              <w:spacing w:before="0" w:after="30" w:line="240" w:lineRule="auto"/>
            </w:pPr>
            <w:r>
              <w:rPr>
                <w:rFonts w:ascii="Arial" w:hAnsi="Arial"/>
                <w:b w:val="0"/>
                <w:color w:val="2D3741"/>
                <w:sz w:val="16"/>
                <w:shd w:fill="FFF2CC"/>
              </w:rPr>
              <w:t>[ENTITY LEGAL NAME]</w:t>
            </w:r>
          </w:p>
        </w:tc>
      </w:tr>
      <w:tr>
        <w:tc>
          <w:tcPr>
            <w:tcW w:type="dxa" w:w="2448"/>
            <w:shd w:fill="E8EEF5"/>
            <w:tcMar>
              <w:top w:w="90" w:type="dxa"/>
              <w:start w:w="120" w:type="dxa"/>
              <w:bottom w:w="90" w:type="dxa"/>
              <w:end w:w="120" w:type="dxa"/>
            </w:tcMar>
            <w:vAlign w:val="center"/>
          </w:tcPr>
          <w:p>
            <w:pPr>
              <w:widowControl/>
              <w:spacing w:before="0" w:after="30" w:line="240" w:lineRule="auto"/>
            </w:pPr>
            <w:r>
              <w:rPr>
                <w:rFonts w:ascii="Arial" w:hAnsi="Arial"/>
                <w:b w:val="0"/>
                <w:color w:val="2D3741"/>
                <w:sz w:val="16"/>
              </w:rPr>
              <w:t>OWNER</w:t>
            </w:r>
          </w:p>
        </w:tc>
        <w:tc>
          <w:tcPr>
            <w:tcW w:type="dxa" w:w="7430"/>
            <w:tcMar>
              <w:top w:w="90" w:type="dxa"/>
              <w:start w:w="120" w:type="dxa"/>
              <w:bottom w:w="90" w:type="dxa"/>
              <w:end w:w="120" w:type="dxa"/>
            </w:tcMar>
            <w:vAlign w:val="center"/>
          </w:tcPr>
          <w:p>
            <w:pPr>
              <w:widowControl/>
              <w:spacing w:before="0" w:after="30" w:line="240" w:lineRule="auto"/>
            </w:pPr>
            <w:r>
              <w:rPr>
                <w:rFonts w:ascii="Arial" w:hAnsi="Arial"/>
                <w:b w:val="0"/>
                <w:color w:val="2D3741"/>
                <w:sz w:val="16"/>
                <w:shd w:fill="FFF2CC"/>
              </w:rPr>
              <w:t>[ROLE / FUNCTION]</w:t>
            </w:r>
          </w:p>
        </w:tc>
      </w:tr>
      <w:tr>
        <w:tc>
          <w:tcPr>
            <w:tcW w:type="dxa" w:w="2448"/>
            <w:shd w:fill="E8EEF5"/>
            <w:tcMar>
              <w:top w:w="90" w:type="dxa"/>
              <w:start w:w="120" w:type="dxa"/>
              <w:bottom w:w="90" w:type="dxa"/>
              <w:end w:w="120" w:type="dxa"/>
            </w:tcMar>
            <w:vAlign w:val="center"/>
          </w:tcPr>
          <w:p>
            <w:pPr>
              <w:widowControl/>
              <w:spacing w:before="0" w:after="30" w:line="240" w:lineRule="auto"/>
            </w:pPr>
            <w:r>
              <w:rPr>
                <w:rFonts w:ascii="Arial" w:hAnsi="Arial"/>
                <w:b w:val="0"/>
                <w:color w:val="2D3741"/>
                <w:sz w:val="16"/>
              </w:rPr>
              <w:t>APPROVER</w:t>
            </w:r>
          </w:p>
        </w:tc>
        <w:tc>
          <w:tcPr>
            <w:tcW w:type="dxa" w:w="7430"/>
            <w:tcMar>
              <w:top w:w="90" w:type="dxa"/>
              <w:start w:w="120" w:type="dxa"/>
              <w:bottom w:w="90" w:type="dxa"/>
              <w:end w:w="120" w:type="dxa"/>
            </w:tcMar>
            <w:vAlign w:val="center"/>
          </w:tcPr>
          <w:p>
            <w:pPr>
              <w:widowControl/>
              <w:spacing w:before="0" w:after="30" w:line="240" w:lineRule="auto"/>
            </w:pPr>
            <w:r>
              <w:rPr>
                <w:rFonts w:ascii="Arial" w:hAnsi="Arial"/>
                <w:b w:val="0"/>
                <w:color w:val="2D3741"/>
                <w:sz w:val="16"/>
                <w:shd w:fill="FFF2CC"/>
              </w:rPr>
              <w:t>[BOARD / MANAGEMENT BODY / EXECUTIVE]</w:t>
            </w:r>
          </w:p>
        </w:tc>
      </w:tr>
      <w:tr>
        <w:tc>
          <w:tcPr>
            <w:tcW w:type="dxa" w:w="2448"/>
            <w:shd w:fill="E8EEF5"/>
            <w:tcMar>
              <w:top w:w="90" w:type="dxa"/>
              <w:start w:w="120" w:type="dxa"/>
              <w:bottom w:w="90" w:type="dxa"/>
              <w:end w:w="120" w:type="dxa"/>
            </w:tcMar>
            <w:vAlign w:val="center"/>
          </w:tcPr>
          <w:p>
            <w:pPr>
              <w:widowControl/>
              <w:spacing w:before="0" w:after="30" w:line="240" w:lineRule="auto"/>
            </w:pPr>
            <w:r>
              <w:rPr>
                <w:rFonts w:ascii="Arial" w:hAnsi="Arial"/>
                <w:b w:val="0"/>
                <w:color w:val="2D3741"/>
                <w:sz w:val="16"/>
              </w:rPr>
              <w:t>VERSION</w:t>
            </w:r>
          </w:p>
        </w:tc>
        <w:tc>
          <w:tcPr>
            <w:tcW w:type="dxa" w:w="7430"/>
            <w:tcMar>
              <w:top w:w="90" w:type="dxa"/>
              <w:start w:w="120" w:type="dxa"/>
              <w:bottom w:w="90" w:type="dxa"/>
              <w:end w:w="120" w:type="dxa"/>
            </w:tcMar>
            <w:vAlign w:val="center"/>
          </w:tcPr>
          <w:p>
            <w:pPr>
              <w:spacing w:before="0" w:after="30" w:line="240" w:lineRule="auto"/>
            </w:pPr>
            <w:r>
              <w:rPr>
                <w:rFonts w:ascii="Arial" w:hAnsi="Arial"/>
                <w:b w:val="0"/>
                <w:color w:val="2D3741"/>
                <w:sz w:val="16"/>
              </w:rPr>
              <w:t>[1.1]</w:t>
            </w:r>
          </w:p>
        </w:tc>
      </w:tr>
      <w:tr>
        <w:tc>
          <w:tcPr>
            <w:tcW w:type="dxa" w:w="2448"/>
            <w:shd w:fill="E8EEF5"/>
            <w:tcMar>
              <w:top w:w="90" w:type="dxa"/>
              <w:start w:w="120" w:type="dxa"/>
              <w:bottom w:w="90" w:type="dxa"/>
              <w:end w:w="120" w:type="dxa"/>
            </w:tcMar>
            <w:vAlign w:val="center"/>
          </w:tcPr>
          <w:p>
            <w:pPr>
              <w:widowControl/>
              <w:spacing w:before="0" w:after="30" w:line="240" w:lineRule="auto"/>
            </w:pPr>
            <w:r>
              <w:rPr>
                <w:rFonts w:ascii="Arial" w:hAnsi="Arial"/>
                <w:b w:val="0"/>
                <w:color w:val="2D3741"/>
                <w:sz w:val="16"/>
              </w:rPr>
              <w:t>EFFECTIVE DATE</w:t>
            </w:r>
          </w:p>
        </w:tc>
        <w:tc>
          <w:tcPr>
            <w:tcW w:type="dxa" w:w="7430"/>
            <w:tcMar>
              <w:top w:w="90" w:type="dxa"/>
              <w:start w:w="120" w:type="dxa"/>
              <w:bottom w:w="90" w:type="dxa"/>
              <w:end w:w="120" w:type="dxa"/>
            </w:tcMar>
            <w:vAlign w:val="center"/>
          </w:tcPr>
          <w:p>
            <w:pPr>
              <w:widowControl/>
              <w:spacing w:before="0" w:after="30" w:line="240" w:lineRule="auto"/>
            </w:pPr>
            <w:r>
              <w:rPr>
                <w:rFonts w:ascii="Arial" w:hAnsi="Arial"/>
                <w:b w:val="0"/>
                <w:color w:val="2D3741"/>
                <w:sz w:val="16"/>
                <w:shd w:fill="FFF2CC"/>
              </w:rPr>
              <w:t>[DD MONTH YYYY]</w:t>
            </w:r>
          </w:p>
        </w:tc>
      </w:tr>
      <w:tr>
        <w:tc>
          <w:tcPr>
            <w:tcW w:type="dxa" w:w="2448"/>
            <w:shd w:fill="E8EEF5"/>
            <w:tcMar>
              <w:top w:w="90" w:type="dxa"/>
              <w:start w:w="120" w:type="dxa"/>
              <w:bottom w:w="90" w:type="dxa"/>
              <w:end w:w="120" w:type="dxa"/>
            </w:tcMar>
            <w:vAlign w:val="center"/>
          </w:tcPr>
          <w:p>
            <w:pPr>
              <w:widowControl/>
              <w:spacing w:before="0" w:after="30" w:line="240" w:lineRule="auto"/>
            </w:pPr>
            <w:r>
              <w:rPr>
                <w:rFonts w:ascii="Arial" w:hAnsi="Arial"/>
                <w:b w:val="0"/>
                <w:color w:val="2D3741"/>
                <w:sz w:val="16"/>
              </w:rPr>
              <w:t>NEXT REVIEW</w:t>
            </w:r>
          </w:p>
        </w:tc>
        <w:tc>
          <w:tcPr>
            <w:tcW w:type="dxa" w:w="7430"/>
            <w:tcMar>
              <w:top w:w="90" w:type="dxa"/>
              <w:start w:w="120" w:type="dxa"/>
              <w:bottom w:w="90" w:type="dxa"/>
              <w:end w:w="120" w:type="dxa"/>
            </w:tcMar>
            <w:vAlign w:val="center"/>
          </w:tcPr>
          <w:p>
            <w:pPr>
              <w:widowControl/>
              <w:spacing w:before="0" w:after="30" w:line="240" w:lineRule="auto"/>
            </w:pPr>
            <w:r>
              <w:rPr>
                <w:rFonts w:ascii="Arial" w:hAnsi="Arial"/>
                <w:b w:val="0"/>
                <w:color w:val="2D3741"/>
                <w:sz w:val="16"/>
                <w:shd w:fill="FFF2CC"/>
              </w:rPr>
              <w:t>[DD MONTH YYYY]</w:t>
            </w:r>
          </w:p>
        </w:tc>
      </w:tr>
    </w:tbl>
    <w:p>
      <w:pPr>
        <w:widowControl/>
        <w:spacing w:after="280"/>
      </w:pPr>
    </w:p>
    <w:tbl>
      <w:tblPr>
        <w:tblW w:type="auto" w:w="0"/>
        <w:jc w:val="center"/>
        <w:tblLayout w:type="fixed"/>
        <w:tblLook w:firstColumn="1" w:firstRow="1" w:lastColumn="0" w:lastRow="0" w:noHBand="0" w:noVBand="1" w:val="04A0"/>
      </w:tblPr>
      <w:tblGrid>
        <w:gridCol w:w="158"/>
        <w:gridCol w:w="9720"/>
      </w:tblGrid>
      <w:tr>
        <w:trPr>
          <w:tblHeader w:val="true"/>
        </w:trPr>
        <w:tc>
          <w:tcPr>
            <w:tcW w:type="dxa" w:w="158"/>
            <w:shd w:fill="9B1C1C"/>
            <w:tcMar>
              <w:top w:w="0" w:type="dxa"/>
              <w:start w:w="0" w:type="dxa"/>
              <w:bottom w:w="0" w:type="dxa"/>
              <w:end w:w="0" w:type="dxa"/>
            </w:tcMar>
            <w:vAlign w:val="center"/>
          </w:tcPr>
          <w:p>
            <w:pPr>
              <w:widowControl/>
            </w:pPr>
          </w:p>
        </w:tc>
        <w:tc>
          <w:tcPr>
            <w:tcW w:type="dxa" w:w="9720"/>
            <w:shd w:fill="FFF5F5"/>
            <w:tcMar>
              <w:top w:w="100" w:type="dxa"/>
              <w:start w:w="145" w:type="dxa"/>
              <w:bottom w:w="100" w:type="dxa"/>
              <w:end w:w="145" w:type="dxa"/>
            </w:tcMar>
            <w:vAlign w:val="center"/>
          </w:tcPr>
          <w:p>
            <w:pPr>
              <w:widowControl/>
            </w:pPr>
            <w:r>
              <w:rPr>
                <w:rFonts w:ascii="Calibri" w:hAnsi="Calibri"/>
                <w:b/>
                <w:color w:val="9B1C1C"/>
                <w:sz w:val="17"/>
              </w:rPr>
              <w:t>TEMPLATE STATUS</w:t>
            </w:r>
            <w:r>
              <w:rPr>
                <w:rFonts w:ascii="Calibri" w:hAnsi="Calibri"/>
              </w:rPr>
              <w:br/>
              <w:t>Complete and validate every yellow-bracketed field. Delete drafting notes before approval. Technical controls, inventories, provider facts, tests and audit conclusions must not be assumed or invented.</w:t>
            </w:r>
          </w:p>
        </w:tc>
      </w:tr>
    </w:tbl>
    <w:p>
      <w:pPr>
        <w:widowControl/>
        <w:spacing w:after="0"/>
      </w:pPr>
    </w:p>
    <w:p>
      <w:pPr>
        <w:widowControl/>
      </w:pPr>
      <w:r>
        <w:br w:type="page"/>
      </w:r>
    </w:p>
    <w:p>
      <w:pPr>
        <w:pStyle w:val="Heading1"/>
        <w:widowControl/>
      </w:pPr>
      <w:r>
        <w:t>Document control and approval</w:t>
      </w:r>
    </w:p>
    <w:tbl>
      <w:tblPr>
        <w:tblStyle w:val="TableGrid"/>
        <w:tblW w:type="auto" w:w="0"/>
        <w:jc w:val="center"/>
        <w:tblLayout w:type="fixed"/>
        <w:tblLook w:firstColumn="1" w:firstRow="1" w:lastColumn="0" w:lastRow="0" w:noHBand="0" w:noVBand="1" w:val="04A0"/>
      </w:tblPr>
      <w:tblGrid>
        <w:gridCol w:w="2520"/>
        <w:gridCol w:w="7358"/>
      </w:tblGrid>
      <w:tr>
        <w:trPr>
          <w:tblHeader w:val="true"/>
          <w:tblHeader w:val="true"/>
        </w:trPr>
        <w:tc>
          <w:tcPr>
            <w:tcW w:type="dxa" w:w="2520"/>
            <w:shd w:fill="17365D"/>
            <w:tcMar>
              <w:top w:w="80" w:type="dxa"/>
              <w:start w:w="110" w:type="dxa"/>
              <w:bottom w:w="80" w:type="dxa"/>
              <w:end w:w="110" w:type="dxa"/>
            </w:tcMar>
            <w:vAlign w:val="center"/>
          </w:tcPr>
          <w:p>
            <w:pPr>
              <w:widowControl/>
              <w:spacing w:before="0" w:after="30" w:line="240" w:lineRule="auto"/>
            </w:pPr>
            <w:r>
              <w:rPr>
                <w:rFonts w:ascii="Arial" w:hAnsi="Arial"/>
                <w:b/>
                <w:color w:val="FFFFFF"/>
                <w:sz w:val="16"/>
              </w:rPr>
              <w:t>Field</w:t>
            </w:r>
          </w:p>
        </w:tc>
        <w:tc>
          <w:tcPr>
            <w:tcW w:type="dxa" w:w="7358"/>
            <w:shd w:fill="17365D"/>
            <w:tcMar>
              <w:top w:w="80" w:type="dxa"/>
              <w:start w:w="110" w:type="dxa"/>
              <w:bottom w:w="80" w:type="dxa"/>
              <w:end w:w="110" w:type="dxa"/>
            </w:tcMar>
            <w:vAlign w:val="center"/>
          </w:tcPr>
          <w:p>
            <w:pPr>
              <w:widowControl/>
              <w:spacing w:before="0" w:after="30" w:line="240" w:lineRule="auto"/>
            </w:pPr>
            <w:r>
              <w:rPr>
                <w:rFonts w:ascii="Arial" w:hAnsi="Arial"/>
                <w:b/>
                <w:color w:val="FFFFFF"/>
                <w:sz w:val="16"/>
              </w:rPr>
              <w:t>Controlled value</w:t>
            </w:r>
          </w:p>
        </w:tc>
      </w:tr>
      <w:tr>
        <w:trPr>
          <w:cantSplit/>
        </w:trPr>
        <w:tc>
          <w:tcPr>
            <w:tcW w:type="dxa" w:w="2520"/>
            <w:tcMar>
              <w:top w:w="80" w:type="dxa"/>
              <w:start w:w="110" w:type="dxa"/>
              <w:bottom w:w="80" w:type="dxa"/>
              <w:end w:w="110" w:type="dxa"/>
            </w:tcMar>
            <w:vAlign w:val="center"/>
          </w:tcPr>
          <w:p>
            <w:pPr>
              <w:widowControl/>
              <w:spacing w:after="30" w:before="0" w:line="240" w:lineRule="auto"/>
            </w:pPr>
            <w:r>
              <w:rPr>
                <w:rFonts w:ascii="Arial" w:hAnsi="Arial"/>
                <w:b w:val="0"/>
                <w:color w:val="2D3741"/>
                <w:sz w:val="16"/>
              </w:rPr>
              <w:t>Document ID</w:t>
            </w:r>
          </w:p>
        </w:tc>
        <w:tc>
          <w:tcPr>
            <w:tcW w:type="dxa" w:w="7358"/>
            <w:tcMar>
              <w:top w:w="80" w:type="dxa"/>
              <w:start w:w="110" w:type="dxa"/>
              <w:bottom w:w="80" w:type="dxa"/>
              <w:end w:w="110" w:type="dxa"/>
            </w:tcMar>
            <w:vAlign w:val="center"/>
          </w:tcPr>
          <w:p>
            <w:pPr>
              <w:widowControl/>
              <w:spacing w:after="30" w:before="0" w:line="240" w:lineRule="auto"/>
            </w:pPr>
            <w:r>
              <w:rPr>
                <w:rFonts w:ascii="Arial" w:hAnsi="Arial"/>
                <w:b w:val="0"/>
                <w:color w:val="2D3741"/>
                <w:sz w:val="16"/>
              </w:rPr>
              <w:t>D06</w:t>
            </w:r>
          </w:p>
        </w:tc>
      </w:tr>
      <w:tr>
        <w:trPr>
          <w:cantSplit/>
        </w:trPr>
        <w:tc>
          <w:tcPr>
            <w:tcW w:type="dxa" w:w="2520"/>
            <w:tcMar>
              <w:top w:w="80" w:type="dxa"/>
              <w:start w:w="110" w:type="dxa"/>
              <w:bottom w:w="80" w:type="dxa"/>
              <w:end w:w="110" w:type="dxa"/>
            </w:tcMar>
            <w:vAlign w:val="center"/>
            <w:shd w:fill="F8FAFC"/>
          </w:tcPr>
          <w:p>
            <w:pPr>
              <w:widowControl/>
              <w:spacing w:after="30" w:before="0" w:line="240" w:lineRule="auto"/>
            </w:pPr>
            <w:r>
              <w:rPr>
                <w:rFonts w:ascii="Arial" w:hAnsi="Arial"/>
                <w:b w:val="0"/>
                <w:color w:val="2D3741"/>
                <w:sz w:val="16"/>
              </w:rPr>
              <w:t>Document title</w:t>
            </w:r>
          </w:p>
        </w:tc>
        <w:tc>
          <w:tcPr>
            <w:tcW w:type="dxa" w:w="7358"/>
            <w:tcMar>
              <w:top w:w="80" w:type="dxa"/>
              <w:start w:w="110" w:type="dxa"/>
              <w:bottom w:w="80" w:type="dxa"/>
              <w:end w:w="110" w:type="dxa"/>
            </w:tcMar>
            <w:vAlign w:val="center"/>
            <w:shd w:fill="F8FAFC"/>
          </w:tcPr>
          <w:p>
            <w:pPr>
              <w:widowControl/>
              <w:spacing w:after="30" w:before="0" w:line="240" w:lineRule="auto"/>
            </w:pPr>
            <w:r>
              <w:rPr>
                <w:rFonts w:ascii="Arial" w:hAnsi="Arial"/>
                <w:b w:val="0"/>
                <w:color w:val="2D3741"/>
                <w:sz w:val="16"/>
              </w:rPr>
              <w:t>ICT Incident Management &amp; DORA Reporting Procedure</w:t>
            </w:r>
          </w:p>
        </w:tc>
      </w:tr>
      <w:tr>
        <w:trPr>
          <w:cantSplit/>
        </w:trPr>
        <w:tc>
          <w:tcPr>
            <w:tcW w:type="dxa" w:w="2520"/>
            <w:tcMar>
              <w:top w:w="80" w:type="dxa"/>
              <w:start w:w="110" w:type="dxa"/>
              <w:bottom w:w="80" w:type="dxa"/>
              <w:end w:w="110" w:type="dxa"/>
            </w:tcMar>
            <w:vAlign w:val="center"/>
          </w:tcPr>
          <w:p>
            <w:pPr>
              <w:widowControl/>
              <w:spacing w:after="30" w:before="0" w:line="240" w:lineRule="auto"/>
            </w:pPr>
            <w:r>
              <w:rPr>
                <w:rFonts w:ascii="Arial" w:hAnsi="Arial"/>
                <w:b w:val="0"/>
                <w:color w:val="2D3741"/>
                <w:sz w:val="16"/>
              </w:rPr>
              <w:t>Owner</w:t>
            </w:r>
          </w:p>
        </w:tc>
        <w:tc>
          <w:tcPr>
            <w:tcW w:type="dxa" w:w="7358"/>
            <w:tcMar>
              <w:top w:w="80" w:type="dxa"/>
              <w:start w:w="110" w:type="dxa"/>
              <w:bottom w:w="80" w:type="dxa"/>
              <w:end w:w="110" w:type="dxa"/>
            </w:tcMar>
            <w:vAlign w:val="center"/>
          </w:tcPr>
          <w:p>
            <w:pPr>
              <w:widowControl/>
              <w:spacing w:after="30" w:before="0" w:line="240" w:lineRule="auto"/>
            </w:pPr>
            <w:r>
              <w:rPr>
                <w:rFonts w:ascii="Arial" w:hAnsi="Arial"/>
                <w:b w:val="0"/>
                <w:color w:val="2D3741"/>
                <w:sz w:val="16"/>
              </w:rPr>
              <w:t>[Incident Management Owner]</w:t>
            </w:r>
          </w:p>
        </w:tc>
      </w:tr>
      <w:tr>
        <w:trPr>
          <w:cantSplit/>
        </w:trPr>
        <w:tc>
          <w:tcPr>
            <w:tcW w:type="dxa" w:w="2520"/>
            <w:tcMar>
              <w:top w:w="80" w:type="dxa"/>
              <w:start w:w="110" w:type="dxa"/>
              <w:bottom w:w="80" w:type="dxa"/>
              <w:end w:w="110" w:type="dxa"/>
            </w:tcMar>
            <w:vAlign w:val="center"/>
            <w:shd w:fill="F8FAFC"/>
          </w:tcPr>
          <w:p>
            <w:pPr>
              <w:widowControl/>
              <w:spacing w:after="30" w:before="0" w:line="240" w:lineRule="auto"/>
            </w:pPr>
            <w:r>
              <w:rPr>
                <w:rFonts w:ascii="Arial" w:hAnsi="Arial"/>
                <w:b w:val="0"/>
                <w:color w:val="2D3741"/>
                <w:sz w:val="16"/>
              </w:rPr>
              <w:t>Approval authority</w:t>
            </w:r>
          </w:p>
        </w:tc>
        <w:tc>
          <w:tcPr>
            <w:tcW w:type="dxa" w:w="7358"/>
            <w:tcMar>
              <w:top w:w="80" w:type="dxa"/>
              <w:start w:w="110" w:type="dxa"/>
              <w:bottom w:w="80" w:type="dxa"/>
              <w:end w:w="110" w:type="dxa"/>
            </w:tcMar>
            <w:vAlign w:val="center"/>
            <w:shd w:fill="F8FAFC"/>
          </w:tcPr>
          <w:p>
            <w:pPr>
              <w:widowControl/>
              <w:spacing w:after="30" w:before="0" w:line="240" w:lineRule="auto"/>
            </w:pPr>
            <w:r>
              <w:rPr>
                <w:rFonts w:ascii="Arial" w:hAnsi="Arial"/>
                <w:b w:val="0"/>
                <w:color w:val="2D3741"/>
                <w:sz w:val="16"/>
              </w:rPr>
              <w:t>Management body / delegated executive</w:t>
            </w:r>
          </w:p>
        </w:tc>
      </w:tr>
      <w:tr>
        <w:trPr>
          <w:cantSplit/>
        </w:trPr>
        <w:tc>
          <w:tcPr>
            <w:tcW w:type="dxa" w:w="2520"/>
            <w:tcMar>
              <w:top w:w="80" w:type="dxa"/>
              <w:start w:w="110" w:type="dxa"/>
              <w:bottom w:w="80" w:type="dxa"/>
              <w:end w:w="110" w:type="dxa"/>
            </w:tcMar>
            <w:vAlign w:val="center"/>
          </w:tcPr>
          <w:p>
            <w:pPr>
              <w:widowControl/>
              <w:spacing w:after="30" w:before="0" w:line="240" w:lineRule="auto"/>
            </w:pPr>
            <w:r>
              <w:rPr>
                <w:rFonts w:ascii="Arial" w:hAnsi="Arial"/>
                <w:b w:val="0"/>
                <w:color w:val="2D3741"/>
                <w:sz w:val="16"/>
              </w:rPr>
              <w:t>Version</w:t>
            </w:r>
          </w:p>
        </w:tc>
        <w:tc>
          <w:tcPr>
            <w:tcW w:type="dxa" w:w="7358"/>
            <w:tcMar>
              <w:top w:w="80" w:type="dxa"/>
              <w:start w:w="110" w:type="dxa"/>
              <w:bottom w:w="80" w:type="dxa"/>
              <w:end w:w="110" w:type="dxa"/>
            </w:tcMar>
            <w:vAlign w:val="center"/>
          </w:tcPr>
          <w:p>
            <w:pPr>
              <w:spacing w:before="0" w:after="30" w:line="240" w:lineRule="auto"/>
            </w:pPr>
            <w:r>
              <w:rPr>
                <w:rFonts w:ascii="Arial" w:hAnsi="Arial"/>
                <w:b w:val="0"/>
                <w:color w:val="2D3741"/>
                <w:sz w:val="16"/>
              </w:rPr>
              <w:t>[1.1]</w:t>
            </w:r>
          </w:p>
        </w:tc>
      </w:tr>
      <w:tr>
        <w:trPr>
          <w:cantSplit/>
        </w:trPr>
        <w:tc>
          <w:tcPr>
            <w:tcW w:type="dxa" w:w="2520"/>
            <w:tcMar>
              <w:top w:w="80" w:type="dxa"/>
              <w:start w:w="110" w:type="dxa"/>
              <w:bottom w:w="80" w:type="dxa"/>
              <w:end w:w="110" w:type="dxa"/>
            </w:tcMar>
            <w:vAlign w:val="center"/>
            <w:shd w:fill="F8FAFC"/>
          </w:tcPr>
          <w:p>
            <w:pPr>
              <w:widowControl/>
              <w:spacing w:after="30" w:before="0" w:line="240" w:lineRule="auto"/>
            </w:pPr>
            <w:r>
              <w:rPr>
                <w:rFonts w:ascii="Arial" w:hAnsi="Arial"/>
                <w:b w:val="0"/>
                <w:color w:val="2D3741"/>
                <w:sz w:val="16"/>
              </w:rPr>
              <w:t>Effective date</w:t>
            </w:r>
          </w:p>
        </w:tc>
        <w:tc>
          <w:tcPr>
            <w:tcW w:type="dxa" w:w="7358"/>
            <w:tcMar>
              <w:top w:w="80" w:type="dxa"/>
              <w:start w:w="110" w:type="dxa"/>
              <w:bottom w:w="80" w:type="dxa"/>
              <w:end w:w="110" w:type="dxa"/>
            </w:tcMar>
            <w:vAlign w:val="center"/>
            <w:shd w:fill="F8FAFC"/>
          </w:tcPr>
          <w:p>
            <w:pPr>
              <w:widowControl/>
              <w:spacing w:after="30" w:before="0" w:line="240" w:lineRule="auto"/>
            </w:pPr>
            <w:r>
              <w:rPr>
                <w:rFonts w:ascii="Arial" w:hAnsi="Arial"/>
                <w:b w:val="0"/>
                <w:color w:val="2D3741"/>
                <w:sz w:val="16"/>
              </w:rPr>
              <w:t>[DD MONTH YYYY]</w:t>
            </w:r>
          </w:p>
        </w:tc>
      </w:tr>
      <w:tr>
        <w:trPr>
          <w:cantSplit/>
        </w:trPr>
        <w:tc>
          <w:tcPr>
            <w:tcW w:type="dxa" w:w="2520"/>
            <w:tcMar>
              <w:top w:w="80" w:type="dxa"/>
              <w:start w:w="110" w:type="dxa"/>
              <w:bottom w:w="80" w:type="dxa"/>
              <w:end w:w="110" w:type="dxa"/>
            </w:tcMar>
            <w:vAlign w:val="center"/>
          </w:tcPr>
          <w:p>
            <w:pPr>
              <w:widowControl/>
              <w:spacing w:after="30" w:before="0" w:line="240" w:lineRule="auto"/>
            </w:pPr>
            <w:r>
              <w:rPr>
                <w:rFonts w:ascii="Arial" w:hAnsi="Arial"/>
                <w:b w:val="0"/>
                <w:color w:val="2D3741"/>
                <w:sz w:val="16"/>
              </w:rPr>
              <w:t>Review cycle</w:t>
            </w:r>
          </w:p>
        </w:tc>
        <w:tc>
          <w:tcPr>
            <w:tcW w:type="dxa" w:w="7358"/>
            <w:tcMar>
              <w:top w:w="80" w:type="dxa"/>
              <w:start w:w="110" w:type="dxa"/>
              <w:bottom w:w="80" w:type="dxa"/>
              <w:end w:w="110" w:type="dxa"/>
            </w:tcMar>
            <w:vAlign w:val="center"/>
          </w:tcPr>
          <w:p>
            <w:pPr>
              <w:widowControl/>
              <w:spacing w:after="30" w:before="0" w:line="240" w:lineRule="auto"/>
            </w:pPr>
            <w:r>
              <w:rPr>
                <w:rFonts w:ascii="Arial" w:hAnsi="Arial"/>
                <w:b w:val="0"/>
                <w:color w:val="2D3741"/>
                <w:sz w:val="16"/>
              </w:rPr>
              <w:t>At least annually and after major incident, exercise or legal change</w:t>
            </w:r>
          </w:p>
        </w:tc>
      </w:tr>
      <w:tr>
        <w:trPr>
          <w:cantSplit/>
        </w:trPr>
        <w:tc>
          <w:tcPr>
            <w:tcW w:type="dxa" w:w="2520"/>
            <w:tcMar>
              <w:top w:w="80" w:type="dxa"/>
              <w:start w:w="110" w:type="dxa"/>
              <w:bottom w:w="80" w:type="dxa"/>
              <w:end w:w="110" w:type="dxa"/>
            </w:tcMar>
            <w:vAlign w:val="center"/>
            <w:shd w:fill="F8FAFC"/>
          </w:tcPr>
          <w:p>
            <w:pPr>
              <w:widowControl/>
              <w:spacing w:after="30" w:before="0" w:line="240" w:lineRule="auto"/>
            </w:pPr>
            <w:r>
              <w:rPr>
                <w:rFonts w:ascii="Arial" w:hAnsi="Arial"/>
                <w:b w:val="0"/>
                <w:color w:val="2D3741"/>
                <w:sz w:val="16"/>
              </w:rPr>
              <w:t>Classification</w:t>
            </w:r>
          </w:p>
        </w:tc>
        <w:tc>
          <w:tcPr>
            <w:tcW w:type="dxa" w:w="7358"/>
            <w:tcMar>
              <w:top w:w="80" w:type="dxa"/>
              <w:start w:w="110" w:type="dxa"/>
              <w:bottom w:w="80" w:type="dxa"/>
              <w:end w:w="110" w:type="dxa"/>
            </w:tcMar>
            <w:vAlign w:val="center"/>
            <w:shd w:fill="F8FAFC"/>
          </w:tcPr>
          <w:p>
            <w:pPr>
              <w:widowControl/>
              <w:spacing w:after="30" w:before="0" w:line="240" w:lineRule="auto"/>
            </w:pPr>
            <w:r>
              <w:rPr>
                <w:rFonts w:ascii="Arial" w:hAnsi="Arial"/>
                <w:b w:val="0"/>
                <w:color w:val="2D3741"/>
                <w:sz w:val="16"/>
              </w:rPr>
              <w:t>Confidential — Internal</w:t>
            </w:r>
          </w:p>
        </w:tc>
      </w:tr>
    </w:tbl>
    <w:p>
      <w:pPr>
        <w:widowControl/>
        <w:spacing w:after="0"/>
      </w:pPr>
    </w:p>
    <w:p>
      <w:pPr>
        <w:pStyle w:val="Heading2"/>
        <w:widowControl/>
      </w:pPr>
      <w:r>
        <w:t>Approval record</w:t>
      </w:r>
    </w:p>
    <w:tbl>
      <w:tblPr>
        <w:tblStyle w:val="TableGrid"/>
        <w:tblW w:type="auto" w:w="0"/>
        <w:jc w:val="center"/>
        <w:tblLayout w:type="fixed"/>
        <w:tblLook w:firstColumn="1" w:firstRow="1" w:lastColumn="0" w:lastRow="0" w:noHBand="0" w:noVBand="1" w:val="04A0"/>
      </w:tblPr>
      <w:tblGrid>
        <w:gridCol w:w="2880"/>
        <w:gridCol w:w="2376"/>
        <w:gridCol w:w="3024"/>
        <w:gridCol w:w="1598"/>
      </w:tblGrid>
      <w:tr>
        <w:trPr>
          <w:tblHeader w:val="true"/>
          <w:tblHeader w:val="true"/>
        </w:trPr>
        <w:tc>
          <w:tcPr>
            <w:tcW w:type="dxa" w:w="2880"/>
            <w:shd w:fill="17365D"/>
            <w:tcMar>
              <w:top w:w="80" w:type="dxa"/>
              <w:start w:w="110" w:type="dxa"/>
              <w:bottom w:w="80" w:type="dxa"/>
              <w:end w:w="110" w:type="dxa"/>
            </w:tcMar>
            <w:vAlign w:val="center"/>
          </w:tcPr>
          <w:p>
            <w:pPr>
              <w:widowControl/>
            </w:pPr>
            <w:r>
              <w:rPr>
                <w:rFonts w:ascii="Calibri" w:hAnsi="Calibri"/>
                <w:b/>
                <w:color w:val="FFFFFF"/>
                <w:sz w:val="16"/>
              </w:rPr>
              <w:t>Approver</w:t>
            </w:r>
          </w:p>
        </w:tc>
        <w:tc>
          <w:tcPr>
            <w:tcW w:type="dxa" w:w="2376"/>
            <w:shd w:fill="17365D"/>
            <w:tcMar>
              <w:top w:w="80" w:type="dxa"/>
              <w:start w:w="110" w:type="dxa"/>
              <w:bottom w:w="80" w:type="dxa"/>
              <w:end w:w="110" w:type="dxa"/>
            </w:tcMar>
            <w:vAlign w:val="center"/>
          </w:tcPr>
          <w:p>
            <w:pPr>
              <w:widowControl/>
            </w:pPr>
            <w:r>
              <w:rPr>
                <w:rFonts w:ascii="Calibri" w:hAnsi="Calibri"/>
                <w:b/>
                <w:color w:val="FFFFFF"/>
                <w:sz w:val="16"/>
              </w:rPr>
              <w:t>Capacity</w:t>
            </w:r>
          </w:p>
        </w:tc>
        <w:tc>
          <w:tcPr>
            <w:tcW w:type="dxa" w:w="3024"/>
            <w:shd w:fill="17365D"/>
            <w:tcMar>
              <w:top w:w="80" w:type="dxa"/>
              <w:start w:w="110" w:type="dxa"/>
              <w:bottom w:w="80" w:type="dxa"/>
              <w:end w:w="110" w:type="dxa"/>
            </w:tcMar>
            <w:vAlign w:val="center"/>
          </w:tcPr>
          <w:p>
            <w:pPr>
              <w:widowControl/>
            </w:pPr>
            <w:r>
              <w:rPr>
                <w:rFonts w:ascii="Calibri" w:hAnsi="Calibri"/>
                <w:b/>
                <w:color w:val="FFFFFF"/>
                <w:sz w:val="16"/>
              </w:rPr>
              <w:t>Decision</w:t>
            </w:r>
          </w:p>
        </w:tc>
        <w:tc>
          <w:tcPr>
            <w:tcW w:type="dxa" w:w="1598"/>
            <w:shd w:fill="17365D"/>
            <w:tcMar>
              <w:top w:w="80" w:type="dxa"/>
              <w:start w:w="110" w:type="dxa"/>
              <w:bottom w:w="80" w:type="dxa"/>
              <w:end w:w="110" w:type="dxa"/>
            </w:tcMar>
            <w:vAlign w:val="center"/>
          </w:tcPr>
          <w:p>
            <w:pPr>
              <w:widowControl/>
            </w:pPr>
            <w:r>
              <w:rPr>
                <w:rFonts w:ascii="Calibri" w:hAnsi="Calibri"/>
                <w:b/>
                <w:color w:val="FFFFFF"/>
                <w:sz w:val="16"/>
              </w:rPr>
              <w:t>Date</w:t>
            </w:r>
          </w:p>
        </w:tc>
      </w:tr>
      <w:tr>
        <w:trPr>
          <w:cantSplit/>
        </w:trPr>
        <w:tc>
          <w:tcPr>
            <w:tcW w:type="dxa" w:w="2880"/>
            <w:tcMar>
              <w:top w:w="80" w:type="dxa"/>
              <w:start w:w="110" w:type="dxa"/>
              <w:bottom w:w="80" w:type="dxa"/>
              <w:end w:w="110" w:type="dxa"/>
            </w:tcMar>
            <w:vAlign w:val="center"/>
          </w:tcPr>
          <w:p>
            <w:pPr>
              <w:widowControl/>
              <w:spacing w:after="0"/>
            </w:pPr>
            <w:r>
              <w:rPr>
                <w:rFonts w:ascii="Calibri" w:hAnsi="Calibri"/>
                <w:b w:val="0"/>
                <w:color w:val="1F2937"/>
                <w:sz w:val="16"/>
              </w:rPr>
              <w:t>[NAME]</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6"/>
              </w:rPr>
              <w:t>[ROLE]</w:t>
            </w:r>
          </w:p>
        </w:tc>
        <w:tc>
          <w:tcPr>
            <w:tcW w:type="dxa" w:w="3024"/>
            <w:tcMar>
              <w:top w:w="80" w:type="dxa"/>
              <w:start w:w="110" w:type="dxa"/>
              <w:bottom w:w="80" w:type="dxa"/>
              <w:end w:w="110" w:type="dxa"/>
            </w:tcMar>
            <w:vAlign w:val="center"/>
          </w:tcPr>
          <w:p>
            <w:pPr>
              <w:widowControl/>
              <w:spacing w:after="0"/>
            </w:pPr>
            <w:r>
              <w:rPr>
                <w:rFonts w:ascii="Calibri" w:hAnsi="Calibri"/>
                <w:b w:val="0"/>
                <w:color w:val="1F2937"/>
                <w:sz w:val="16"/>
              </w:rPr>
              <w:t>Approved / conditional</w:t>
            </w:r>
          </w:p>
        </w:tc>
        <w:tc>
          <w:tcPr>
            <w:tcW w:type="dxa" w:w="1598"/>
            <w:tcMar>
              <w:top w:w="80" w:type="dxa"/>
              <w:start w:w="110" w:type="dxa"/>
              <w:bottom w:w="80" w:type="dxa"/>
              <w:end w:w="110" w:type="dxa"/>
            </w:tcMar>
            <w:vAlign w:val="center"/>
          </w:tcPr>
          <w:p>
            <w:pPr>
              <w:widowControl/>
              <w:spacing w:after="0"/>
            </w:pPr>
            <w:r>
              <w:rPr>
                <w:rFonts w:ascii="Calibri" w:hAnsi="Calibri"/>
                <w:b w:val="0"/>
                <w:color w:val="1F2937"/>
                <w:sz w:val="16"/>
              </w:rPr>
              <w:t>[DATE]</w:t>
            </w:r>
          </w:p>
        </w:tc>
      </w:tr>
      <w:tr>
        <w:trPr>
          <w:cantSplit/>
        </w:trPr>
        <w:tc>
          <w:tcPr>
            <w:tcW w:type="dxa" w:w="2880"/>
            <w:tcMar>
              <w:top w:w="80" w:type="dxa"/>
              <w:start w:w="110" w:type="dxa"/>
              <w:bottom w:w="80" w:type="dxa"/>
              <w:end w:w="110" w:type="dxa"/>
            </w:tcMar>
            <w:vAlign w:val="center"/>
            <w:shd w:fill="F8FAFC"/>
          </w:tcPr>
          <w:p>
            <w:pPr>
              <w:widowControl/>
              <w:spacing w:after="0"/>
            </w:pPr>
            <w:r>
              <w:rPr>
                <w:rFonts w:ascii="Calibri" w:hAnsi="Calibri"/>
                <w:b w:val="0"/>
                <w:color w:val="1F2937"/>
                <w:sz w:val="16"/>
              </w:rPr>
              <w:t>[NAME]</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6"/>
              </w:rPr>
              <w:t>[ROLE]</w:t>
            </w:r>
          </w:p>
        </w:tc>
        <w:tc>
          <w:tcPr>
            <w:tcW w:type="dxa" w:w="3024"/>
            <w:tcMar>
              <w:top w:w="80" w:type="dxa"/>
              <w:start w:w="110" w:type="dxa"/>
              <w:bottom w:w="80" w:type="dxa"/>
              <w:end w:w="110" w:type="dxa"/>
            </w:tcMar>
            <w:vAlign w:val="center"/>
            <w:shd w:fill="F8FAFC"/>
          </w:tcPr>
          <w:p>
            <w:pPr>
              <w:widowControl/>
              <w:spacing w:after="0"/>
            </w:pPr>
            <w:r>
              <w:rPr>
                <w:rFonts w:ascii="Calibri" w:hAnsi="Calibri"/>
                <w:b w:val="0"/>
                <w:color w:val="1F2937"/>
                <w:sz w:val="16"/>
              </w:rPr>
              <w:t>Approved / conditional</w:t>
            </w:r>
          </w:p>
        </w:tc>
        <w:tc>
          <w:tcPr>
            <w:tcW w:type="dxa" w:w="1598"/>
            <w:tcMar>
              <w:top w:w="80" w:type="dxa"/>
              <w:start w:w="110" w:type="dxa"/>
              <w:bottom w:w="80" w:type="dxa"/>
              <w:end w:w="110" w:type="dxa"/>
            </w:tcMar>
            <w:vAlign w:val="center"/>
            <w:shd w:fill="F8FAFC"/>
          </w:tcPr>
          <w:p>
            <w:pPr>
              <w:widowControl/>
              <w:spacing w:after="0"/>
            </w:pPr>
            <w:r>
              <w:rPr>
                <w:rFonts w:ascii="Calibri" w:hAnsi="Calibri"/>
                <w:b w:val="0"/>
                <w:color w:val="1F2937"/>
                <w:sz w:val="16"/>
              </w:rPr>
              <w:t>[DATE]</w:t>
            </w:r>
          </w:p>
        </w:tc>
      </w:tr>
    </w:tbl>
    <w:p>
      <w:pPr>
        <w:widowControl/>
        <w:spacing w:after="0"/>
      </w:pPr>
    </w:p>
    <w:p>
      <w:pPr>
        <w:pStyle w:val="Heading2"/>
        <w:widowControl/>
      </w:pPr>
      <w:r>
        <w:t>Version history</w:t>
      </w:r>
    </w:p>
    <w:tbl>
      <w:tblPr>
        <w:tblStyle w:val="TableGrid"/>
        <w:tblW w:type="dxa" w:w="9878"/>
        <w:jc w:val="center"/>
        <w:tblLayout w:type="fixed"/>
        <w:tblLook w:firstColumn="1" w:firstRow="1" w:lastColumn="0" w:lastRow="0" w:noHBand="0" w:noVBand="1" w:val="04A0"/>
        <w:tblInd w:w="90" w:type="dxa"/>
      </w:tblPr>
      <w:tblGrid>
        <w:gridCol w:w="1300"/>
        <w:gridCol w:w="1800"/>
        <w:gridCol w:w="5000"/>
        <w:gridCol w:w="1778"/>
      </w:tblGrid>
      <w:tr>
        <w:trPr>
          <w:tblHeader w:val="true"/>
          <w:tblHeader w:val="true"/>
        </w:trPr>
        <w:tc>
          <w:tcPr>
            <w:tcW w:type="dxa" w:w="1300"/>
            <w:shd w:fill="17365D"/>
            <w:tcMar>
              <w:top w:w="70" w:type="dxa"/>
              <w:start w:w="90" w:type="dxa"/>
              <w:bottom w:w="70" w:type="dxa"/>
              <w:end w:w="90" w:type="dxa"/>
            </w:tcMar>
            <w:vAlign w:val="center"/>
          </w:tcPr>
          <w:p>
            <w:pPr>
              <w:widowControl/>
            </w:pPr>
            <w:r>
              <w:rPr>
                <w:rFonts w:ascii="Calibri" w:hAnsi="Calibri"/>
                <w:b/>
                <w:color w:val="FFFFFF"/>
                <w:sz w:val="16"/>
              </w:rPr>
              <w:t>Version</w:t>
            </w:r>
          </w:p>
        </w:tc>
        <w:tc>
          <w:tcPr>
            <w:tcW w:type="dxa" w:w="1800"/>
            <w:shd w:fill="17365D"/>
            <w:tcMar>
              <w:top w:w="70" w:type="dxa"/>
              <w:start w:w="90" w:type="dxa"/>
              <w:bottom w:w="70" w:type="dxa"/>
              <w:end w:w="90" w:type="dxa"/>
            </w:tcMar>
            <w:vAlign w:val="center"/>
          </w:tcPr>
          <w:p>
            <w:pPr>
              <w:widowControl/>
            </w:pPr>
            <w:r>
              <w:rPr>
                <w:rFonts w:ascii="Calibri" w:hAnsi="Calibri"/>
                <w:b/>
                <w:color w:val="FFFFFF"/>
                <w:sz w:val="16"/>
              </w:rPr>
              <w:t>Date</w:t>
            </w:r>
          </w:p>
        </w:tc>
        <w:tc>
          <w:tcPr>
            <w:tcW w:type="dxa" w:w="5000"/>
            <w:shd w:fill="17365D"/>
            <w:tcMar>
              <w:top w:w="70" w:type="dxa"/>
              <w:start w:w="90" w:type="dxa"/>
              <w:bottom w:w="70" w:type="dxa"/>
              <w:end w:w="90" w:type="dxa"/>
            </w:tcMar>
            <w:vAlign w:val="center"/>
          </w:tcPr>
          <w:p>
            <w:pPr>
              <w:widowControl/>
            </w:pPr>
            <w:r>
              <w:rPr>
                <w:rFonts w:ascii="Calibri" w:hAnsi="Calibri"/>
                <w:b/>
                <w:color w:val="FFFFFF"/>
                <w:sz w:val="16"/>
              </w:rPr>
              <w:t>Change</w:t>
            </w:r>
          </w:p>
        </w:tc>
        <w:tc>
          <w:tcPr>
            <w:tcW w:type="dxa" w:w="1778"/>
            <w:shd w:fill="17365D"/>
            <w:tcMar>
              <w:top w:w="70" w:type="dxa"/>
              <w:start w:w="90" w:type="dxa"/>
              <w:bottom w:w="70" w:type="dxa"/>
              <w:end w:w="90" w:type="dxa"/>
            </w:tcMar>
            <w:vAlign w:val="center"/>
          </w:tcPr>
          <w:p>
            <w:pPr>
              <w:widowControl/>
            </w:pPr>
            <w:r>
              <w:rPr>
                <w:rFonts w:ascii="Calibri" w:hAnsi="Calibri"/>
                <w:b/>
                <w:color w:val="FFFFFF"/>
                <w:sz w:val="16"/>
              </w:rPr>
              <w:t>Author</w:t>
            </w:r>
          </w:p>
        </w:tc>
      </w:tr>
      <w:tr>
        <w:trPr>
          <w:cantSplit/>
        </w:trPr>
        <w:tc>
          <w:tcPr>
            <w:tcW w:type="dxa" w:w="1300"/>
            <w:tcMar>
              <w:top w:w="70" w:type="dxa"/>
              <w:start w:w="90" w:type="dxa"/>
              <w:bottom w:w="70" w:type="dxa"/>
              <w:end w:w="90" w:type="dxa"/>
            </w:tcMar>
            <w:vAlign w:val="center"/>
          </w:tcPr>
          <w:p>
            <w:pPr>
              <w:widowControl/>
              <w:spacing w:after="0"/>
            </w:pPr>
            <w:r>
              <w:rPr>
                <w:rFonts w:ascii="Calibri" w:hAnsi="Calibri"/>
                <w:b w:val="0"/>
                <w:color w:val="1F2937"/>
                <w:sz w:val="16"/>
              </w:rPr>
              <w:t>0.1</w:t>
            </w:r>
          </w:p>
        </w:tc>
        <w:tc>
          <w:tcPr>
            <w:tcW w:type="dxa" w:w="1800"/>
            <w:tcMar>
              <w:top w:w="70" w:type="dxa"/>
              <w:start w:w="90" w:type="dxa"/>
              <w:bottom w:w="70" w:type="dxa"/>
              <w:end w:w="90" w:type="dxa"/>
            </w:tcMar>
            <w:vAlign w:val="center"/>
          </w:tcPr>
          <w:p>
            <w:pPr>
              <w:widowControl/>
              <w:spacing w:after="0"/>
            </w:pPr>
            <w:r>
              <w:rPr>
                <w:rFonts w:ascii="Calibri" w:hAnsi="Calibri"/>
                <w:b w:val="0"/>
                <w:color w:val="1F2937"/>
                <w:sz w:val="16"/>
              </w:rPr>
              <w:t>[DATE]</w:t>
            </w:r>
          </w:p>
        </w:tc>
        <w:tc>
          <w:tcPr>
            <w:tcW w:type="dxa" w:w="5000"/>
            <w:tcMar>
              <w:top w:w="70" w:type="dxa"/>
              <w:start w:w="90" w:type="dxa"/>
              <w:bottom w:w="70" w:type="dxa"/>
              <w:end w:w="90" w:type="dxa"/>
            </w:tcMar>
            <w:vAlign w:val="center"/>
          </w:tcPr>
          <w:p>
            <w:pPr>
              <w:widowControl/>
              <w:spacing w:after="0"/>
            </w:pPr>
            <w:r>
              <w:rPr>
                <w:rFonts w:ascii="Calibri" w:hAnsi="Calibri"/>
                <w:b w:val="0"/>
                <w:color w:val="1F2937"/>
                <w:sz w:val="16"/>
              </w:rPr>
              <w:t>Initial template tailoring</w:t>
            </w:r>
          </w:p>
        </w:tc>
        <w:tc>
          <w:tcPr>
            <w:tcW w:type="dxa" w:w="1778"/>
            <w:tcMar>
              <w:top w:w="70" w:type="dxa"/>
              <w:start w:w="90" w:type="dxa"/>
              <w:bottom w:w="70" w:type="dxa"/>
              <w:end w:w="90" w:type="dxa"/>
            </w:tcMar>
            <w:vAlign w:val="center"/>
          </w:tcPr>
          <w:p>
            <w:pPr>
              <w:widowControl/>
              <w:spacing w:after="0"/>
            </w:pPr>
            <w:r>
              <w:rPr>
                <w:rFonts w:ascii="Calibri" w:hAnsi="Calibri"/>
                <w:b w:val="0"/>
                <w:color w:val="1F2937"/>
                <w:sz w:val="16"/>
              </w:rPr>
              <w:t>[NAME]</w:t>
            </w:r>
          </w:p>
        </w:tc>
      </w:tr>
      <w:tr>
        <w:trPr>
          <w:cantSplit/>
        </w:trPr>
        <w:tc>
          <w:tcPr>
            <w:tcW w:type="dxa" w:w="1300"/>
            <w:tcMar>
              <w:top w:w="70" w:type="dxa"/>
              <w:start w:w="90" w:type="dxa"/>
              <w:bottom w:w="70" w:type="dxa"/>
              <w:end w:w="90" w:type="dxa"/>
            </w:tcMar>
            <w:vAlign w:val="center"/>
            <w:shd w:fill="F8FAFC"/>
          </w:tcPr>
          <w:p>
            <w:pPr>
              <w:widowControl/>
              <w:spacing w:after="0"/>
            </w:pPr>
            <w:r>
              <w:rPr>
                <w:rFonts w:ascii="Calibri" w:hAnsi="Calibri"/>
                <w:b w:val="0"/>
                <w:color w:val="1F2937"/>
                <w:sz w:val="16"/>
              </w:rPr>
              <w:t>1.0</w:t>
            </w:r>
          </w:p>
        </w:tc>
        <w:tc>
          <w:tcPr>
            <w:tcW w:type="dxa" w:w="1800"/>
            <w:tcMar>
              <w:top w:w="70" w:type="dxa"/>
              <w:start w:w="90" w:type="dxa"/>
              <w:bottom w:w="70" w:type="dxa"/>
              <w:end w:w="90" w:type="dxa"/>
            </w:tcMar>
            <w:vAlign w:val="center"/>
            <w:shd w:fill="F8FAFC"/>
          </w:tcPr>
          <w:p>
            <w:pPr>
              <w:widowControl/>
              <w:spacing w:after="0"/>
            </w:pPr>
            <w:r>
              <w:rPr>
                <w:rFonts w:ascii="Calibri" w:hAnsi="Calibri"/>
                <w:b w:val="0"/>
                <w:color w:val="1F2937"/>
                <w:sz w:val="16"/>
              </w:rPr>
              <w:t>[DATE]</w:t>
            </w:r>
          </w:p>
        </w:tc>
        <w:tc>
          <w:tcPr>
            <w:tcW w:type="dxa" w:w="5000"/>
            <w:tcMar>
              <w:top w:w="70" w:type="dxa"/>
              <w:start w:w="90" w:type="dxa"/>
              <w:bottom w:w="70" w:type="dxa"/>
              <w:end w:w="90" w:type="dxa"/>
            </w:tcMar>
            <w:vAlign w:val="center"/>
            <w:shd w:fill="F8FAFC"/>
          </w:tcPr>
          <w:p>
            <w:pPr>
              <w:widowControl/>
              <w:spacing w:after="0"/>
            </w:pPr>
            <w:r>
              <w:rPr>
                <w:rFonts w:ascii="Calibri" w:hAnsi="Calibri"/>
                <w:b w:val="0"/>
                <w:color w:val="1F2937"/>
                <w:sz w:val="16"/>
              </w:rPr>
              <w:t>First approved version</w:t>
            </w:r>
          </w:p>
        </w:tc>
        <w:tc>
          <w:tcPr>
            <w:tcW w:type="dxa" w:w="1778"/>
            <w:tcMar>
              <w:top w:w="70" w:type="dxa"/>
              <w:start w:w="90" w:type="dxa"/>
              <w:bottom w:w="70" w:type="dxa"/>
              <w:end w:w="90" w:type="dxa"/>
            </w:tcMar>
            <w:vAlign w:val="center"/>
            <w:shd w:fill="F8FAFC"/>
          </w:tcPr>
          <w:p>
            <w:pPr>
              <w:widowControl/>
              <w:spacing w:after="0"/>
            </w:pPr>
            <w:r>
              <w:rPr>
                <w:rFonts w:ascii="Calibri" w:hAnsi="Calibri"/>
                <w:b w:val="0"/>
                <w:color w:val="1F2937"/>
                <w:sz w:val="16"/>
              </w:rPr>
              <w:t>[NAME]</w:t>
            </w:r>
          </w:p>
        </w:tc>
      </w:tr>
      <w:tr>
        <w:tc>
          <w:tcPr>
            <w:tcW w:type="dxa" w:w="1300"/>
            <w:vAlign w:val="center"/>
            <w:tcMar>
              <w:top w:w="70" w:type="dxa"/>
              <w:start w:w="90" w:type="dxa"/>
              <w:bottom w:w="70" w:type="dxa"/>
              <w:end w:w="90" w:type="dxa"/>
            </w:tcMar>
          </w:tcPr>
          <w:p>
            <w:pPr>
              <w:spacing w:before="0" w:after="30" w:line="240" w:lineRule="auto"/>
            </w:pPr>
            <w:r>
              <w:rPr>
                <w:rFonts w:ascii="Arial" w:hAnsi="Arial"/>
                <w:b w:val="0"/>
                <w:color w:val="2D3741"/>
                <w:sz w:val="16"/>
              </w:rPr>
              <w:t>1.1</w:t>
            </w:r>
          </w:p>
        </w:tc>
        <w:tc>
          <w:tcPr>
            <w:tcW w:type="dxa" w:w="1800"/>
            <w:vAlign w:val="center"/>
            <w:tcMar>
              <w:top w:w="70" w:type="dxa"/>
              <w:start w:w="90" w:type="dxa"/>
              <w:bottom w:w="70" w:type="dxa"/>
              <w:end w:w="90" w:type="dxa"/>
            </w:tcMar>
          </w:tcPr>
          <w:p>
            <w:pPr>
              <w:spacing w:before="0" w:after="30" w:line="240" w:lineRule="auto"/>
            </w:pPr>
            <w:r>
              <w:rPr>
                <w:rFonts w:ascii="Arial" w:hAnsi="Arial"/>
                <w:b w:val="0"/>
                <w:color w:val="2D3741"/>
                <w:sz w:val="16"/>
              </w:rPr>
              <w:t>23 July 2026</w:t>
            </w:r>
          </w:p>
        </w:tc>
        <w:tc>
          <w:tcPr>
            <w:tcW w:type="dxa" w:w="5000"/>
            <w:vAlign w:val="center"/>
            <w:tcMar>
              <w:top w:w="70" w:type="dxa"/>
              <w:start w:w="90" w:type="dxa"/>
              <w:bottom w:w="70" w:type="dxa"/>
              <w:end w:w="90" w:type="dxa"/>
            </w:tcMar>
          </w:tcPr>
          <w:p>
            <w:pPr>
              <w:spacing w:before="0" w:after="30" w:line="240" w:lineRule="auto"/>
            </w:pPr>
            <w:r>
              <w:rPr>
                <w:rFonts w:ascii="Arial" w:hAnsi="Arial"/>
                <w:b w:val="0"/>
                <w:color w:val="2D3741"/>
                <w:sz w:val="16"/>
              </w:rPr>
              <w:t>Added Annexes A–E and remediated traceability references</w:t>
            </w:r>
          </w:p>
        </w:tc>
        <w:tc>
          <w:tcPr>
            <w:tcW w:type="dxa" w:w="1778"/>
            <w:vAlign w:val="center"/>
            <w:tcMar>
              <w:top w:w="70" w:type="dxa"/>
              <w:start w:w="90" w:type="dxa"/>
              <w:bottom w:w="70" w:type="dxa"/>
              <w:end w:w="90" w:type="dxa"/>
            </w:tcMar>
          </w:tcPr>
          <w:p>
            <w:pPr>
              <w:spacing w:before="0" w:after="30" w:line="240" w:lineRule="auto"/>
            </w:pPr>
            <w:r>
              <w:rPr>
                <w:rFonts w:ascii="Arial" w:hAnsi="Arial"/>
                <w:b w:val="0"/>
                <w:color w:val="2D3741"/>
                <w:sz w:val="16"/>
              </w:rPr>
              <w:t>[NAME]</w:t>
            </w:r>
          </w:p>
        </w:tc>
      </w:tr>
    </w:tbl>
    <w:p>
      <w:pPr>
        <w:widowControl/>
        <w:spacing w:after="0"/>
      </w:pPr>
    </w:p>
    <w:p>
      <w:pPr>
        <w:pStyle w:val="Heading1"/>
        <w:widowControl/>
      </w:pPr>
      <w:r>
        <w:t>Definitions and interpretation</w:t>
      </w:r>
    </w:p>
    <w:tbl>
      <w:tblPr>
        <w:tblStyle w:val="TableGrid"/>
        <w:tblW w:type="auto" w:w="0"/>
        <w:jc w:val="center"/>
        <w:tblLayout w:type="fixed"/>
        <w:tblLook w:firstColumn="1" w:firstRow="1" w:lastColumn="0" w:lastRow="0" w:noHBand="0" w:noVBand="1" w:val="04A0"/>
      </w:tblPr>
      <w:tblGrid>
        <w:gridCol w:w="2736"/>
        <w:gridCol w:w="7142"/>
      </w:tblGrid>
      <w:tr>
        <w:trPr>
          <w:tblHeader w:val="true"/>
          <w:tblHeader w:val="true"/>
        </w:trPr>
        <w:tc>
          <w:tcPr>
            <w:tcW w:type="dxa" w:w="2736"/>
            <w:shd w:fill="17365D"/>
            <w:tcMar>
              <w:top w:w="80" w:type="dxa"/>
              <w:start w:w="110" w:type="dxa"/>
              <w:bottom w:w="80" w:type="dxa"/>
              <w:end w:w="110" w:type="dxa"/>
            </w:tcMar>
            <w:vAlign w:val="center"/>
          </w:tcPr>
          <w:p>
            <w:pPr>
              <w:widowControl/>
            </w:pPr>
            <w:r>
              <w:rPr>
                <w:rFonts w:ascii="Calibri" w:hAnsi="Calibri"/>
                <w:b/>
                <w:color w:val="FFFFFF"/>
                <w:sz w:val="16"/>
              </w:rPr>
              <w:t>Term</w:t>
            </w:r>
          </w:p>
        </w:tc>
        <w:tc>
          <w:tcPr>
            <w:tcW w:type="dxa" w:w="7142"/>
            <w:shd w:fill="17365D"/>
            <w:tcMar>
              <w:top w:w="80" w:type="dxa"/>
              <w:start w:w="110" w:type="dxa"/>
              <w:bottom w:w="80" w:type="dxa"/>
              <w:end w:w="110" w:type="dxa"/>
            </w:tcMar>
            <w:vAlign w:val="center"/>
          </w:tcPr>
          <w:p>
            <w:pPr>
              <w:widowControl/>
            </w:pPr>
            <w:r>
              <w:rPr>
                <w:rFonts w:ascii="Calibri" w:hAnsi="Calibri"/>
                <w:b/>
                <w:color w:val="FFFFFF"/>
                <w:sz w:val="16"/>
              </w:rPr>
              <w:t>Meaning</w:t>
            </w:r>
          </w:p>
        </w:tc>
      </w:tr>
      <w:tr>
        <w:trPr>
          <w:cantSplit/>
        </w:trPr>
        <w:tc>
          <w:tcPr>
            <w:tcW w:type="dxa" w:w="2736"/>
            <w:tcMar>
              <w:top w:w="80" w:type="dxa"/>
              <w:start w:w="110" w:type="dxa"/>
              <w:bottom w:w="80" w:type="dxa"/>
              <w:end w:w="110" w:type="dxa"/>
            </w:tcMar>
            <w:vAlign w:val="center"/>
          </w:tcPr>
          <w:p>
            <w:pPr>
              <w:widowControl/>
              <w:spacing w:after="0"/>
            </w:pPr>
            <w:r>
              <w:rPr>
                <w:rFonts w:ascii="Calibri" w:hAnsi="Calibri"/>
                <w:b/>
                <w:color w:val="1F4D78"/>
                <w:sz w:val="16"/>
              </w:rPr>
              <w:t>Critical or important function</w:t>
            </w:r>
          </w:p>
        </w:tc>
        <w:tc>
          <w:tcPr>
            <w:tcW w:type="dxa" w:w="7142"/>
            <w:tcMar>
              <w:top w:w="80" w:type="dxa"/>
              <w:start w:w="110" w:type="dxa"/>
              <w:bottom w:w="80" w:type="dxa"/>
              <w:end w:w="110" w:type="dxa"/>
            </w:tcMar>
            <w:vAlign w:val="center"/>
          </w:tcPr>
          <w:p>
            <w:pPr>
              <w:widowControl/>
              <w:spacing w:after="0"/>
            </w:pPr>
            <w:r>
              <w:rPr>
                <w:rFonts w:ascii="Calibri" w:hAnsi="Calibri"/>
                <w:b w:val="0"/>
                <w:color w:val="1F2937"/>
                <w:sz w:val="16"/>
              </w:rPr>
              <w:t>A function whose disruption would materially impair financial performance, soundness, continuity of services or compliance with authorisation conditions or financial-services law.</w:t>
            </w:r>
          </w:p>
        </w:tc>
      </w:tr>
      <w:tr>
        <w:trPr>
          <w:cantSplit/>
        </w:trPr>
        <w:tc>
          <w:tcPr>
            <w:tcW w:type="dxa" w:w="2736"/>
            <w:tcMar>
              <w:top w:w="80" w:type="dxa"/>
              <w:start w:w="110" w:type="dxa"/>
              <w:bottom w:w="80" w:type="dxa"/>
              <w:end w:w="110" w:type="dxa"/>
            </w:tcMar>
            <w:vAlign w:val="center"/>
            <w:shd w:fill="F8FAFC"/>
          </w:tcPr>
          <w:p>
            <w:pPr>
              <w:widowControl/>
              <w:spacing w:after="0"/>
            </w:pPr>
            <w:r>
              <w:rPr>
                <w:rFonts w:ascii="Calibri" w:hAnsi="Calibri"/>
                <w:b/>
                <w:color w:val="1F4D78"/>
                <w:sz w:val="16"/>
              </w:rPr>
              <w:t>DORA</w:t>
            </w:r>
          </w:p>
        </w:tc>
        <w:tc>
          <w:tcPr>
            <w:tcW w:type="dxa" w:w="7142"/>
            <w:tcMar>
              <w:top w:w="80" w:type="dxa"/>
              <w:start w:w="110" w:type="dxa"/>
              <w:bottom w:w="80" w:type="dxa"/>
              <w:end w:w="110" w:type="dxa"/>
            </w:tcMar>
            <w:vAlign w:val="center"/>
            <w:shd w:fill="F8FAFC"/>
          </w:tcPr>
          <w:p>
            <w:pPr>
              <w:widowControl/>
              <w:spacing w:after="0"/>
            </w:pPr>
            <w:r>
              <w:rPr>
                <w:rFonts w:ascii="Calibri" w:hAnsi="Calibri"/>
                <w:b w:val="0"/>
                <w:color w:val="1F2937"/>
                <w:sz w:val="16"/>
              </w:rPr>
              <w:t>Regulation (EU) 2022/2554 as incorporated into the EEA Agreement and given force in Iceland by Act No. 78/2025.</w:t>
            </w:r>
          </w:p>
        </w:tc>
      </w:tr>
      <w:tr>
        <w:trPr>
          <w:cantSplit/>
        </w:trPr>
        <w:tc>
          <w:tcPr>
            <w:tcW w:type="dxa" w:w="2736"/>
            <w:tcMar>
              <w:top w:w="80" w:type="dxa"/>
              <w:start w:w="110" w:type="dxa"/>
              <w:bottom w:w="80" w:type="dxa"/>
              <w:end w:w="110" w:type="dxa"/>
            </w:tcMar>
            <w:vAlign w:val="center"/>
          </w:tcPr>
          <w:p>
            <w:pPr>
              <w:widowControl/>
              <w:spacing w:after="0"/>
            </w:pPr>
            <w:r>
              <w:rPr>
                <w:rFonts w:ascii="Calibri" w:hAnsi="Calibri"/>
                <w:b/>
                <w:color w:val="1F4D78"/>
                <w:sz w:val="16"/>
              </w:rPr>
              <w:t>ICT asset</w:t>
            </w:r>
          </w:p>
        </w:tc>
        <w:tc>
          <w:tcPr>
            <w:tcW w:type="dxa" w:w="7142"/>
            <w:tcMar>
              <w:top w:w="80" w:type="dxa"/>
              <w:start w:w="110" w:type="dxa"/>
              <w:bottom w:w="80" w:type="dxa"/>
              <w:end w:w="110" w:type="dxa"/>
            </w:tcMar>
            <w:vAlign w:val="center"/>
          </w:tcPr>
          <w:p>
            <w:pPr>
              <w:widowControl/>
              <w:spacing w:after="0"/>
            </w:pPr>
            <w:r>
              <w:rPr>
                <w:rFonts w:ascii="Calibri" w:hAnsi="Calibri"/>
                <w:b w:val="0"/>
                <w:color w:val="1F2937"/>
                <w:sz w:val="16"/>
              </w:rPr>
              <w:t>A software or hardware asset in network and information systems used by the firm.</w:t>
            </w:r>
          </w:p>
        </w:tc>
      </w:tr>
      <w:tr>
        <w:trPr>
          <w:cantSplit/>
        </w:trPr>
        <w:tc>
          <w:tcPr>
            <w:tcW w:type="dxa" w:w="2736"/>
            <w:tcMar>
              <w:top w:w="80" w:type="dxa"/>
              <w:start w:w="110" w:type="dxa"/>
              <w:bottom w:w="80" w:type="dxa"/>
              <w:end w:w="110" w:type="dxa"/>
            </w:tcMar>
            <w:vAlign w:val="center"/>
            <w:shd w:fill="F8FAFC"/>
          </w:tcPr>
          <w:p>
            <w:pPr>
              <w:widowControl/>
              <w:spacing w:after="0"/>
            </w:pPr>
            <w:r>
              <w:rPr>
                <w:rFonts w:ascii="Calibri" w:hAnsi="Calibri"/>
                <w:b/>
                <w:color w:val="1F4D78"/>
                <w:sz w:val="16"/>
              </w:rPr>
              <w:t>ICT risk</w:t>
            </w:r>
          </w:p>
        </w:tc>
        <w:tc>
          <w:tcPr>
            <w:tcW w:type="dxa" w:w="7142"/>
            <w:tcMar>
              <w:top w:w="80" w:type="dxa"/>
              <w:start w:w="110" w:type="dxa"/>
              <w:bottom w:w="80" w:type="dxa"/>
              <w:end w:w="110" w:type="dxa"/>
            </w:tcMar>
            <w:vAlign w:val="center"/>
            <w:shd w:fill="F8FAFC"/>
          </w:tcPr>
          <w:p>
            <w:pPr>
              <w:widowControl/>
              <w:spacing w:after="0"/>
            </w:pPr>
            <w:r>
              <w:rPr>
                <w:rFonts w:ascii="Calibri" w:hAnsi="Calibri"/>
                <w:b w:val="0"/>
                <w:color w:val="1F2937"/>
                <w:sz w:val="16"/>
              </w:rPr>
              <w:t>A reasonably identifiable circumstance relating to network and information systems that may compromise security, operations or services.</w:t>
            </w:r>
          </w:p>
        </w:tc>
      </w:tr>
      <w:tr>
        <w:trPr>
          <w:cantSplit/>
        </w:trPr>
        <w:tc>
          <w:tcPr>
            <w:tcW w:type="dxa" w:w="2736"/>
            <w:tcMar>
              <w:top w:w="80" w:type="dxa"/>
              <w:start w:w="110" w:type="dxa"/>
              <w:bottom w:w="80" w:type="dxa"/>
              <w:end w:w="110" w:type="dxa"/>
            </w:tcMar>
            <w:vAlign w:val="center"/>
          </w:tcPr>
          <w:p>
            <w:pPr>
              <w:widowControl/>
              <w:spacing w:after="0"/>
            </w:pPr>
            <w:r>
              <w:rPr>
                <w:rFonts w:ascii="Calibri" w:hAnsi="Calibri"/>
                <w:b/>
                <w:color w:val="1F4D78"/>
                <w:sz w:val="16"/>
              </w:rPr>
              <w:t>Management body</w:t>
            </w:r>
          </w:p>
        </w:tc>
        <w:tc>
          <w:tcPr>
            <w:tcW w:type="dxa" w:w="7142"/>
            <w:tcMar>
              <w:top w:w="80" w:type="dxa"/>
              <w:start w:w="110" w:type="dxa"/>
              <w:bottom w:w="80" w:type="dxa"/>
              <w:end w:w="110" w:type="dxa"/>
            </w:tcMar>
            <w:vAlign w:val="center"/>
          </w:tcPr>
          <w:p>
            <w:pPr>
              <w:widowControl/>
              <w:spacing w:after="0"/>
            </w:pPr>
            <w:r>
              <w:rPr>
                <w:rFonts w:ascii="Calibri" w:hAnsi="Calibri"/>
                <w:b w:val="0"/>
                <w:color w:val="1F2937"/>
                <w:sz w:val="16"/>
              </w:rPr>
              <w:t>The board of directors or other body performing management-body responsibilities.</w:t>
            </w:r>
          </w:p>
        </w:tc>
      </w:tr>
      <w:tr>
        <w:trPr>
          <w:cantSplit/>
        </w:trPr>
        <w:tc>
          <w:tcPr>
            <w:tcW w:type="dxa" w:w="2736"/>
            <w:tcMar>
              <w:top w:w="80" w:type="dxa"/>
              <w:start w:w="110" w:type="dxa"/>
              <w:bottom w:w="80" w:type="dxa"/>
              <w:end w:w="110" w:type="dxa"/>
            </w:tcMar>
            <w:vAlign w:val="center"/>
            <w:shd w:fill="F8FAFC"/>
          </w:tcPr>
          <w:p>
            <w:pPr>
              <w:widowControl/>
              <w:spacing w:after="0"/>
            </w:pPr>
            <w:r>
              <w:rPr>
                <w:rFonts w:ascii="Calibri" w:hAnsi="Calibri"/>
                <w:b/>
                <w:color w:val="1F4D78"/>
                <w:sz w:val="16"/>
              </w:rPr>
              <w:t>ICT-related incident</w:t>
            </w:r>
          </w:p>
        </w:tc>
        <w:tc>
          <w:tcPr>
            <w:tcW w:type="dxa" w:w="7142"/>
            <w:tcMar>
              <w:top w:w="80" w:type="dxa"/>
              <w:start w:w="110" w:type="dxa"/>
              <w:bottom w:w="80" w:type="dxa"/>
              <w:end w:w="110" w:type="dxa"/>
            </w:tcMar>
            <w:vAlign w:val="center"/>
            <w:shd w:fill="F8FAFC"/>
          </w:tcPr>
          <w:p>
            <w:pPr>
              <w:widowControl/>
              <w:spacing w:after="0"/>
            </w:pPr>
            <w:r>
              <w:rPr>
                <w:rFonts w:ascii="Calibri" w:hAnsi="Calibri"/>
                <w:b w:val="0"/>
                <w:color w:val="1F2937"/>
                <w:sz w:val="16"/>
              </w:rPr>
              <w:t>A single event or series of linked unplanned events compromising network and information systems and adversely affecting data or services.</w:t>
            </w:r>
          </w:p>
        </w:tc>
      </w:tr>
      <w:tr>
        <w:trPr>
          <w:cantSplit/>
        </w:trPr>
        <w:tc>
          <w:tcPr>
            <w:tcW w:type="dxa" w:w="2736"/>
            <w:tcMar>
              <w:top w:w="80" w:type="dxa"/>
              <w:start w:w="110" w:type="dxa"/>
              <w:bottom w:w="80" w:type="dxa"/>
              <w:end w:w="110" w:type="dxa"/>
            </w:tcMar>
            <w:vAlign w:val="center"/>
          </w:tcPr>
          <w:p>
            <w:pPr>
              <w:widowControl/>
              <w:spacing w:after="0"/>
            </w:pPr>
            <w:r>
              <w:rPr>
                <w:rFonts w:ascii="Calibri" w:hAnsi="Calibri"/>
                <w:b/>
                <w:color w:val="1F4D78"/>
                <w:sz w:val="16"/>
              </w:rPr>
              <w:t>Major ICT-related incident</w:t>
            </w:r>
          </w:p>
        </w:tc>
        <w:tc>
          <w:tcPr>
            <w:tcW w:type="dxa" w:w="7142"/>
            <w:tcMar>
              <w:top w:w="80" w:type="dxa"/>
              <w:start w:w="110" w:type="dxa"/>
              <w:bottom w:w="80" w:type="dxa"/>
              <w:end w:w="110" w:type="dxa"/>
            </w:tcMar>
            <w:vAlign w:val="center"/>
          </w:tcPr>
          <w:p>
            <w:pPr>
              <w:widowControl/>
              <w:spacing w:after="0"/>
            </w:pPr>
            <w:r>
              <w:rPr>
                <w:rFonts w:ascii="Calibri" w:hAnsi="Calibri"/>
                <w:b w:val="0"/>
                <w:color w:val="1F2937"/>
                <w:sz w:val="16"/>
              </w:rPr>
              <w:t>An ICT-related incident with high adverse impact, classified under RTS 2024/1772.</w:t>
            </w:r>
          </w:p>
        </w:tc>
      </w:tr>
      <w:tr>
        <w:trPr>
          <w:cantSplit/>
        </w:trPr>
        <w:tc>
          <w:tcPr>
            <w:tcW w:type="dxa" w:w="2736"/>
            <w:tcMar>
              <w:top w:w="80" w:type="dxa"/>
              <w:start w:w="110" w:type="dxa"/>
              <w:bottom w:w="80" w:type="dxa"/>
              <w:end w:w="110" w:type="dxa"/>
            </w:tcMar>
            <w:vAlign w:val="center"/>
            <w:shd w:fill="F8FAFC"/>
          </w:tcPr>
          <w:p>
            <w:pPr>
              <w:widowControl/>
              <w:spacing w:after="0"/>
            </w:pPr>
            <w:r>
              <w:rPr>
                <w:rFonts w:ascii="Calibri" w:hAnsi="Calibri"/>
                <w:b/>
                <w:color w:val="1F4D78"/>
                <w:sz w:val="16"/>
              </w:rPr>
              <w:t>Significant cyber threat</w:t>
            </w:r>
          </w:p>
        </w:tc>
        <w:tc>
          <w:tcPr>
            <w:tcW w:type="dxa" w:w="7142"/>
            <w:tcMar>
              <w:top w:w="80" w:type="dxa"/>
              <w:start w:w="110" w:type="dxa"/>
              <w:bottom w:w="80" w:type="dxa"/>
              <w:end w:w="110" w:type="dxa"/>
            </w:tcMar>
            <w:vAlign w:val="center"/>
            <w:shd w:fill="F8FAFC"/>
          </w:tcPr>
          <w:p>
            <w:pPr>
              <w:widowControl/>
              <w:spacing w:after="0"/>
            </w:pPr>
            <w:r>
              <w:rPr>
                <w:rFonts w:ascii="Calibri" w:hAnsi="Calibri"/>
                <w:b w:val="0"/>
                <w:color w:val="1F2937"/>
                <w:sz w:val="16"/>
              </w:rPr>
              <w:t>A cyber threat whose technical characteristics indicate potential to result in a major ICT-related incident or major operational/security payment-related incident.</w:t>
            </w:r>
          </w:p>
        </w:tc>
      </w:tr>
    </w:tbl>
    <w:p>
      <w:pPr>
        <w:widowControl/>
        <w:spacing w:after="0"/>
      </w:pPr>
    </w:p>
    <w:p>
      <w:pPr>
        <w:pStyle w:val="Heading1"/>
        <w:widowControl/>
      </w:pPr>
      <w:r>
        <w:t>1. Purpose and mandatory outcomes</w:t>
      </w:r>
    </w:p>
    <w:p>
      <w:pPr>
        <w:widowControl/>
      </w:pPr>
      <w:r>
        <w:t>This Procedure governs detection, management, classification, escalation, reporting and post-incident learning. It operates continuously and applies to events involving the firm, its systems, personnel and ICT providers. Reporting may be operationally outsourced, but the firm remains responsible.</w:t>
      </w:r>
    </w:p>
    <w:p>
      <w:pPr>
        <w:pStyle w:val="Heading1"/>
        <w:widowControl/>
      </w:pPr>
      <w:r>
        <w:t>2. Roles and authority</w:t>
      </w:r>
    </w:p>
    <w:tbl>
      <w:tblPr>
        <w:tblStyle w:val="TableGrid"/>
        <w:tblW w:type="auto" w:w="0"/>
        <w:jc w:val="center"/>
        <w:tblLayout w:type="fixed"/>
        <w:tblLook w:firstColumn="1" w:firstRow="1" w:lastColumn="0" w:lastRow="0" w:noHBand="0" w:noVBand="1" w:val="04A0"/>
      </w:tblPr>
      <w:tblGrid>
        <w:gridCol w:w="2232"/>
        <w:gridCol w:w="7646"/>
      </w:tblGrid>
      <w:tr>
        <w:trPr>
          <w:tblHeader w:val="true"/>
          <w:tblHeader w:val="true"/>
        </w:trPr>
        <w:tc>
          <w:tcPr>
            <w:tcW w:type="dxa" w:w="2232"/>
            <w:shd w:fill="17365D"/>
            <w:tcMar>
              <w:top w:w="80" w:type="dxa"/>
              <w:start w:w="110" w:type="dxa"/>
              <w:bottom w:w="80" w:type="dxa"/>
              <w:end w:w="110" w:type="dxa"/>
            </w:tcMar>
            <w:vAlign w:val="center"/>
          </w:tcPr>
          <w:p>
            <w:pPr>
              <w:widowControl/>
            </w:pPr>
            <w:r>
              <w:rPr>
                <w:rFonts w:ascii="Calibri" w:hAnsi="Calibri"/>
                <w:b/>
                <w:color w:val="FFFFFF"/>
                <w:sz w:val="16"/>
              </w:rPr>
              <w:t>Role</w:t>
            </w:r>
          </w:p>
        </w:tc>
        <w:tc>
          <w:tcPr>
            <w:tcW w:type="dxa" w:w="7646"/>
            <w:shd w:fill="17365D"/>
            <w:tcMar>
              <w:top w:w="80" w:type="dxa"/>
              <w:start w:w="110" w:type="dxa"/>
              <w:bottom w:w="80" w:type="dxa"/>
              <w:end w:w="110" w:type="dxa"/>
            </w:tcMar>
            <w:vAlign w:val="center"/>
          </w:tcPr>
          <w:p>
            <w:pPr>
              <w:widowControl/>
            </w:pPr>
            <w:r>
              <w:rPr>
                <w:rFonts w:ascii="Calibri" w:hAnsi="Calibri"/>
                <w:b/>
                <w:color w:val="FFFFFF"/>
                <w:sz w:val="16"/>
              </w:rPr>
              <w:t>Authority / duty</w:t>
            </w:r>
          </w:p>
        </w:tc>
      </w:tr>
      <w:tr>
        <w:trPr>
          <w:cantSplit/>
        </w:trPr>
        <w:tc>
          <w:tcPr>
            <w:tcW w:type="dxa" w:w="2232"/>
            <w:tcMar>
              <w:top w:w="80" w:type="dxa"/>
              <w:start w:w="110" w:type="dxa"/>
              <w:bottom w:w="80" w:type="dxa"/>
              <w:end w:w="110" w:type="dxa"/>
            </w:tcMar>
            <w:vAlign w:val="center"/>
          </w:tcPr>
          <w:p>
            <w:pPr>
              <w:widowControl/>
              <w:spacing w:after="0"/>
            </w:pPr>
            <w:r>
              <w:rPr>
                <w:rFonts w:ascii="Calibri" w:hAnsi="Calibri"/>
                <w:b/>
                <w:color w:val="1F4D78"/>
                <w:sz w:val="16"/>
              </w:rPr>
              <w:t>Incident Manager</w:t>
            </w:r>
          </w:p>
        </w:tc>
        <w:tc>
          <w:tcPr>
            <w:tcW w:type="dxa" w:w="7646"/>
            <w:tcMar>
              <w:top w:w="80" w:type="dxa"/>
              <w:start w:w="110" w:type="dxa"/>
              <w:bottom w:w="80" w:type="dxa"/>
              <w:end w:w="110" w:type="dxa"/>
            </w:tcMar>
            <w:vAlign w:val="center"/>
          </w:tcPr>
          <w:p>
            <w:pPr>
              <w:widowControl/>
              <w:spacing w:after="0"/>
            </w:pPr>
            <w:r>
              <w:rPr>
                <w:rFonts w:ascii="Calibri" w:hAnsi="Calibri"/>
                <w:b w:val="0"/>
                <w:color w:val="1F2937"/>
                <w:sz w:val="16"/>
              </w:rPr>
              <w:t>Open incident, set severity, coordinate containment/recovery, maintain cadence and close.</w:t>
            </w:r>
          </w:p>
        </w:tc>
      </w:tr>
      <w:tr>
        <w:trPr>
          <w:cantSplit/>
        </w:trPr>
        <w:tc>
          <w:tcPr>
            <w:tcW w:type="dxa" w:w="2232"/>
            <w:tcMar>
              <w:top w:w="80" w:type="dxa"/>
              <w:start w:w="110" w:type="dxa"/>
              <w:bottom w:w="80" w:type="dxa"/>
              <w:end w:w="110" w:type="dxa"/>
            </w:tcMar>
            <w:vAlign w:val="center"/>
            <w:shd w:fill="F8FAFC"/>
          </w:tcPr>
          <w:p>
            <w:pPr>
              <w:widowControl/>
              <w:spacing w:after="0"/>
            </w:pPr>
            <w:r>
              <w:rPr>
                <w:rFonts w:ascii="Calibri" w:hAnsi="Calibri"/>
                <w:b/>
                <w:color w:val="1F4D78"/>
                <w:sz w:val="16"/>
              </w:rPr>
              <w:t>Technical Lead</w:t>
            </w:r>
          </w:p>
        </w:tc>
        <w:tc>
          <w:tcPr>
            <w:tcW w:type="dxa" w:w="7646"/>
            <w:tcMar>
              <w:top w:w="80" w:type="dxa"/>
              <w:start w:w="110" w:type="dxa"/>
              <w:bottom w:w="80" w:type="dxa"/>
              <w:end w:w="110" w:type="dxa"/>
            </w:tcMar>
            <w:vAlign w:val="center"/>
            <w:shd w:fill="F8FAFC"/>
          </w:tcPr>
          <w:p>
            <w:pPr>
              <w:widowControl/>
              <w:spacing w:after="0"/>
            </w:pPr>
            <w:r>
              <w:rPr>
                <w:rFonts w:ascii="Calibri" w:hAnsi="Calibri"/>
                <w:b w:val="0"/>
                <w:color w:val="1F2937"/>
                <w:sz w:val="16"/>
              </w:rPr>
              <w:t>Investigate, contain, eradicate, recover and preserve technical evidence.</w:t>
            </w:r>
          </w:p>
        </w:tc>
      </w:tr>
      <w:tr>
        <w:trPr>
          <w:cantSplit/>
        </w:trPr>
        <w:tc>
          <w:tcPr>
            <w:tcW w:type="dxa" w:w="2232"/>
            <w:tcMar>
              <w:top w:w="80" w:type="dxa"/>
              <w:start w:w="110" w:type="dxa"/>
              <w:bottom w:w="80" w:type="dxa"/>
              <w:end w:w="110" w:type="dxa"/>
            </w:tcMar>
            <w:vAlign w:val="center"/>
          </w:tcPr>
          <w:p>
            <w:pPr>
              <w:widowControl/>
              <w:spacing w:after="0"/>
            </w:pPr>
            <w:r>
              <w:rPr>
                <w:rFonts w:ascii="Calibri" w:hAnsi="Calibri"/>
                <w:b/>
                <w:color w:val="1F4D78"/>
                <w:sz w:val="16"/>
              </w:rPr>
              <w:t>Compliance Lead</w:t>
            </w:r>
          </w:p>
        </w:tc>
        <w:tc>
          <w:tcPr>
            <w:tcW w:type="dxa" w:w="7646"/>
            <w:tcMar>
              <w:top w:w="80" w:type="dxa"/>
              <w:start w:w="110" w:type="dxa"/>
              <w:bottom w:w="80" w:type="dxa"/>
              <w:end w:w="110" w:type="dxa"/>
            </w:tcMar>
            <w:vAlign w:val="center"/>
          </w:tcPr>
          <w:p>
            <w:pPr>
              <w:widowControl/>
              <w:spacing w:after="0"/>
            </w:pPr>
            <w:r>
              <w:rPr>
                <w:rFonts w:ascii="Calibri" w:hAnsi="Calibri"/>
                <w:b w:val="0"/>
                <w:color w:val="1F2937"/>
                <w:sz w:val="16"/>
              </w:rPr>
              <w:t>Classify under DORA; control regulatory clock, forms and portal submission.</w:t>
            </w:r>
          </w:p>
        </w:tc>
      </w:tr>
      <w:tr>
        <w:trPr>
          <w:cantSplit/>
        </w:trPr>
        <w:tc>
          <w:tcPr>
            <w:tcW w:type="dxa" w:w="2232"/>
            <w:tcMar>
              <w:top w:w="80" w:type="dxa"/>
              <w:start w:w="110" w:type="dxa"/>
              <w:bottom w:w="80" w:type="dxa"/>
              <w:end w:w="110" w:type="dxa"/>
            </w:tcMar>
            <w:vAlign w:val="center"/>
            <w:shd w:fill="F8FAFC"/>
          </w:tcPr>
          <w:p>
            <w:pPr>
              <w:widowControl/>
              <w:spacing w:after="0"/>
            </w:pPr>
            <w:r>
              <w:rPr>
                <w:rFonts w:ascii="Calibri" w:hAnsi="Calibri"/>
                <w:b/>
                <w:color w:val="1F4D78"/>
                <w:sz w:val="16"/>
              </w:rPr>
              <w:t>Business Owner</w:t>
            </w:r>
          </w:p>
        </w:tc>
        <w:tc>
          <w:tcPr>
            <w:tcW w:type="dxa" w:w="7646"/>
            <w:tcMar>
              <w:top w:w="80" w:type="dxa"/>
              <w:start w:w="110" w:type="dxa"/>
              <w:bottom w:w="80" w:type="dxa"/>
              <w:end w:w="110" w:type="dxa"/>
            </w:tcMar>
            <w:vAlign w:val="center"/>
            <w:shd w:fill="F8FAFC"/>
          </w:tcPr>
          <w:p>
            <w:pPr>
              <w:widowControl/>
              <w:spacing w:after="0"/>
            </w:pPr>
            <w:r>
              <w:rPr>
                <w:rFonts w:ascii="Calibri" w:hAnsi="Calibri"/>
                <w:b w:val="0"/>
                <w:color w:val="1F2937"/>
                <w:sz w:val="16"/>
              </w:rPr>
              <w:t>Assess client, transaction, service and business impact; validate recovery.</w:t>
            </w:r>
          </w:p>
        </w:tc>
      </w:tr>
      <w:tr>
        <w:trPr>
          <w:cantSplit/>
        </w:trPr>
        <w:tc>
          <w:tcPr>
            <w:tcW w:type="dxa" w:w="2232"/>
            <w:tcMar>
              <w:top w:w="80" w:type="dxa"/>
              <w:start w:w="110" w:type="dxa"/>
              <w:bottom w:w="80" w:type="dxa"/>
              <w:end w:w="110" w:type="dxa"/>
            </w:tcMar>
            <w:vAlign w:val="center"/>
          </w:tcPr>
          <w:p>
            <w:pPr>
              <w:widowControl/>
              <w:spacing w:after="0"/>
            </w:pPr>
            <w:r>
              <w:rPr>
                <w:rFonts w:ascii="Calibri" w:hAnsi="Calibri"/>
                <w:b/>
                <w:color w:val="1F4D78"/>
                <w:sz w:val="16"/>
              </w:rPr>
              <w:t>Privacy / Legal</w:t>
            </w:r>
          </w:p>
        </w:tc>
        <w:tc>
          <w:tcPr>
            <w:tcW w:type="dxa" w:w="7646"/>
            <w:tcMar>
              <w:top w:w="80" w:type="dxa"/>
              <w:start w:w="110" w:type="dxa"/>
              <w:bottom w:w="80" w:type="dxa"/>
              <w:end w:w="110" w:type="dxa"/>
            </w:tcMar>
            <w:vAlign w:val="center"/>
          </w:tcPr>
          <w:p>
            <w:pPr>
              <w:widowControl/>
              <w:spacing w:after="0"/>
            </w:pPr>
            <w:r>
              <w:rPr>
                <w:rFonts w:ascii="Calibri" w:hAnsi="Calibri"/>
                <w:b w:val="0"/>
                <w:color w:val="1F2937"/>
                <w:sz w:val="16"/>
              </w:rPr>
              <w:t>Assess personal-data, contractual, legal-hold and communication duties.</w:t>
            </w:r>
          </w:p>
        </w:tc>
      </w:tr>
      <w:tr>
        <w:trPr>
          <w:cantSplit/>
        </w:trPr>
        <w:tc>
          <w:tcPr>
            <w:tcW w:type="dxa" w:w="2232"/>
            <w:tcMar>
              <w:top w:w="80" w:type="dxa"/>
              <w:start w:w="110" w:type="dxa"/>
              <w:bottom w:w="80" w:type="dxa"/>
              <w:end w:w="110" w:type="dxa"/>
            </w:tcMar>
            <w:vAlign w:val="center"/>
            <w:shd w:fill="F8FAFC"/>
          </w:tcPr>
          <w:p>
            <w:pPr>
              <w:widowControl/>
              <w:spacing w:after="0"/>
            </w:pPr>
            <w:r>
              <w:rPr>
                <w:rFonts w:ascii="Calibri" w:hAnsi="Calibri"/>
                <w:b/>
                <w:color w:val="1F4D78"/>
                <w:sz w:val="16"/>
              </w:rPr>
              <w:t>Management / Board</w:t>
            </w:r>
          </w:p>
        </w:tc>
        <w:tc>
          <w:tcPr>
            <w:tcW w:type="dxa" w:w="7646"/>
            <w:tcMar>
              <w:top w:w="80" w:type="dxa"/>
              <w:start w:w="110" w:type="dxa"/>
              <w:bottom w:w="80" w:type="dxa"/>
              <w:end w:w="110" w:type="dxa"/>
            </w:tcMar>
            <w:vAlign w:val="center"/>
            <w:shd w:fill="F8FAFC"/>
          </w:tcPr>
          <w:p>
            <w:pPr>
              <w:widowControl/>
              <w:spacing w:after="0"/>
            </w:pPr>
            <w:r>
              <w:rPr>
                <w:rFonts w:ascii="Calibri" w:hAnsi="Calibri"/>
                <w:b w:val="0"/>
                <w:color w:val="1F2937"/>
                <w:sz w:val="16"/>
              </w:rPr>
              <w:t>Decide material risk, resources, client strategy and risk acceptance.</w:t>
            </w:r>
          </w:p>
        </w:tc>
      </w:tr>
    </w:tbl>
    <w:p>
      <w:pPr>
        <w:widowControl/>
        <w:spacing w:after="0"/>
      </w:pPr>
    </w:p>
    <w:p>
      <w:pPr>
        <w:pStyle w:val="Heading1"/>
        <w:widowControl/>
      </w:pPr>
      <w:r>
        <w:t>3. Detection, intake and immediate escalation</w:t>
      </w:r>
    </w:p>
    <w:p>
      <w:pPr>
        <w:widowControl/>
      </w:pPr>
      <w:r>
        <w:t>Any person or provider shall report suspected events immediately through [CHANNEL]. The recipient records awareness time, reporter, affected service/assets, observed symptoms and immediate safety/security concerns. An incident record is opened in D07 without waiting for complete facts.</w:t>
      </w:r>
    </w:p>
    <w:tbl>
      <w:tblPr>
        <w:tblW w:type="auto" w:w="0"/>
        <w:jc w:val="center"/>
        <w:tblLayout w:type="fixed"/>
        <w:tblLook w:firstColumn="1" w:firstRow="1" w:lastColumn="0" w:lastRow="0" w:noHBand="0" w:noVBand="1" w:val="04A0"/>
      </w:tblPr>
      <w:tblGrid>
        <w:gridCol w:w="158"/>
        <w:gridCol w:w="9720"/>
      </w:tblGrid>
      <w:tr>
        <w:trPr>
          <w:tblHeader w:val="true"/>
        </w:trPr>
        <w:tc>
          <w:tcPr>
            <w:tcW w:type="dxa" w:w="158"/>
            <w:shd w:fill="9B1C1C"/>
            <w:tcMar>
              <w:top w:w="0" w:type="dxa"/>
              <w:start w:w="0" w:type="dxa"/>
              <w:bottom w:w="0" w:type="dxa"/>
              <w:end w:w="0" w:type="dxa"/>
            </w:tcMar>
            <w:vAlign w:val="center"/>
          </w:tcPr>
          <w:p>
            <w:pPr>
              <w:widowControl/>
            </w:pPr>
          </w:p>
        </w:tc>
        <w:tc>
          <w:tcPr>
            <w:tcW w:type="dxa" w:w="9720"/>
            <w:shd w:fill="FFF5F5"/>
            <w:tcMar>
              <w:top w:w="100" w:type="dxa"/>
              <w:start w:w="145" w:type="dxa"/>
              <w:bottom w:w="100" w:type="dxa"/>
              <w:end w:w="145" w:type="dxa"/>
            </w:tcMar>
            <w:vAlign w:val="center"/>
          </w:tcPr>
          <w:p>
            <w:pPr>
              <w:widowControl/>
            </w:pPr>
            <w:r>
              <w:rPr>
                <w:rFonts w:ascii="Calibri" w:hAnsi="Calibri"/>
                <w:b/>
                <w:color w:val="9B1C1C"/>
                <w:sz w:val="17"/>
              </w:rPr>
              <w:t>REGULATORY CLOCK</w:t>
            </w:r>
            <w:r>
              <w:rPr>
                <w:rFonts w:ascii="Calibri" w:hAnsi="Calibri"/>
              </w:rPr>
              <w:br/>
              <w:t>Record the moment the firm became aware of the ICT-related incident and the later moment, if any, it classified the incident as major. Both timestamps govern the DORA deadlines.</w:t>
            </w:r>
          </w:p>
        </w:tc>
      </w:tr>
    </w:tbl>
    <w:p>
      <w:pPr>
        <w:widowControl/>
        <w:spacing w:after="0"/>
      </w:pPr>
    </w:p>
    <w:p>
      <w:pPr>
        <w:pStyle w:val="Heading1"/>
        <w:widowControl/>
      </w:pPr>
      <w:r>
        <w:t>4. Incident lifecycle</w:t>
      </w:r>
    </w:p>
    <w:tbl>
      <w:tblPr>
        <w:tblStyle w:val="TableGrid"/>
        <w:tblW w:type="auto" w:w="0"/>
        <w:jc w:val="center"/>
        <w:tblLayout w:type="fixed"/>
        <w:tblLook w:firstColumn="1" w:firstRow="1" w:lastColumn="0" w:lastRow="0" w:noHBand="0" w:noVBand="1" w:val="04A0"/>
      </w:tblPr>
      <w:tblGrid>
        <w:gridCol w:w="1512"/>
        <w:gridCol w:w="6408"/>
        <w:gridCol w:w="1958"/>
      </w:tblGrid>
      <w:tr>
        <w:trPr>
          <w:tblHeader w:val="true"/>
          <w:tblHeader w:val="true"/>
        </w:trPr>
        <w:tc>
          <w:tcPr>
            <w:tcW w:type="dxa" w:w="1512"/>
            <w:shd w:fill="17365D"/>
            <w:tcMar>
              <w:top w:w="80" w:type="dxa"/>
              <w:start w:w="110" w:type="dxa"/>
              <w:bottom w:w="80" w:type="dxa"/>
              <w:end w:w="110" w:type="dxa"/>
            </w:tcMar>
            <w:vAlign w:val="center"/>
          </w:tcPr>
          <w:p>
            <w:pPr>
              <w:widowControl/>
            </w:pPr>
            <w:r>
              <w:rPr>
                <w:rFonts w:ascii="Calibri" w:hAnsi="Calibri"/>
                <w:b/>
                <w:color w:val="FFFFFF"/>
                <w:sz w:val="14"/>
              </w:rPr>
              <w:t>Stage</w:t>
            </w:r>
          </w:p>
        </w:tc>
        <w:tc>
          <w:tcPr>
            <w:tcW w:type="dxa" w:w="6408"/>
            <w:shd w:fill="17365D"/>
            <w:tcMar>
              <w:top w:w="80" w:type="dxa"/>
              <w:start w:w="110" w:type="dxa"/>
              <w:bottom w:w="80" w:type="dxa"/>
              <w:end w:w="110" w:type="dxa"/>
            </w:tcMar>
            <w:vAlign w:val="center"/>
          </w:tcPr>
          <w:p>
            <w:pPr>
              <w:widowControl/>
            </w:pPr>
            <w:r>
              <w:rPr>
                <w:rFonts w:ascii="Calibri" w:hAnsi="Calibri"/>
                <w:b/>
                <w:color w:val="FFFFFF"/>
                <w:sz w:val="14"/>
              </w:rPr>
              <w:t>Required actions</w:t>
            </w:r>
          </w:p>
        </w:tc>
        <w:tc>
          <w:tcPr>
            <w:tcW w:type="dxa" w:w="1958"/>
            <w:shd w:fill="17365D"/>
            <w:tcMar>
              <w:top w:w="80" w:type="dxa"/>
              <w:start w:w="110" w:type="dxa"/>
              <w:bottom w:w="80" w:type="dxa"/>
              <w:end w:w="110" w:type="dxa"/>
            </w:tcMar>
            <w:vAlign w:val="center"/>
          </w:tcPr>
          <w:p>
            <w:pPr>
              <w:widowControl/>
            </w:pPr>
            <w:r>
              <w:rPr>
                <w:rFonts w:ascii="Calibri" w:hAnsi="Calibri"/>
                <w:b/>
                <w:color w:val="FFFFFF"/>
                <w:sz w:val="14"/>
              </w:rPr>
              <w:t>Exit criterion</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color w:val="1F4D78"/>
                <w:sz w:val="14"/>
              </w:rPr>
              <w:t>Detect &amp; log</w:t>
            </w:r>
          </w:p>
        </w:tc>
        <w:tc>
          <w:tcPr>
            <w:tcW w:type="dxa" w:w="6408"/>
            <w:tcMar>
              <w:top w:w="80" w:type="dxa"/>
              <w:start w:w="110" w:type="dxa"/>
              <w:bottom w:w="80" w:type="dxa"/>
              <w:end w:w="110" w:type="dxa"/>
            </w:tcMar>
            <w:vAlign w:val="center"/>
          </w:tcPr>
          <w:p>
            <w:pPr>
              <w:widowControl/>
              <w:spacing w:after="0"/>
            </w:pPr>
            <w:r>
              <w:rPr>
                <w:rFonts w:ascii="Calibri" w:hAnsi="Calibri"/>
                <w:b w:val="0"/>
                <w:color w:val="1F2937"/>
                <w:sz w:val="14"/>
              </w:rPr>
              <w:t>Create D07 record; preserve facts/time; notify Incident Manager.</w:t>
            </w:r>
          </w:p>
        </w:tc>
        <w:tc>
          <w:tcPr>
            <w:tcW w:type="dxa" w:w="1958"/>
            <w:tcMar>
              <w:top w:w="80" w:type="dxa"/>
              <w:start w:w="110" w:type="dxa"/>
              <w:bottom w:w="80" w:type="dxa"/>
              <w:end w:w="110" w:type="dxa"/>
            </w:tcMar>
            <w:vAlign w:val="center"/>
          </w:tcPr>
          <w:p>
            <w:pPr>
              <w:widowControl/>
              <w:spacing w:after="0"/>
            </w:pPr>
            <w:r>
              <w:rPr>
                <w:rFonts w:ascii="Calibri" w:hAnsi="Calibri"/>
                <w:b w:val="0"/>
                <w:color w:val="1F2937"/>
                <w:sz w:val="14"/>
              </w:rPr>
              <w:t>Owner and initial severity assigned</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color w:val="1F4D78"/>
                <w:sz w:val="14"/>
              </w:rPr>
              <w:t>Triage</w:t>
            </w:r>
          </w:p>
        </w:tc>
        <w:tc>
          <w:tcPr>
            <w:tcW w:type="dxa" w:w="6408"/>
            <w:tcMar>
              <w:top w:w="80" w:type="dxa"/>
              <w:start w:w="110" w:type="dxa"/>
              <w:bottom w:w="80" w:type="dxa"/>
              <w:end w:w="110" w:type="dxa"/>
            </w:tcMar>
            <w:vAlign w:val="center"/>
            <w:shd w:fill="F8FAFC"/>
          </w:tcPr>
          <w:p>
            <w:pPr>
              <w:widowControl/>
              <w:spacing w:after="0"/>
            </w:pPr>
            <w:r>
              <w:rPr>
                <w:rFonts w:ascii="Calibri" w:hAnsi="Calibri"/>
                <w:b w:val="0"/>
                <w:color w:val="1F2937"/>
                <w:sz w:val="14"/>
              </w:rPr>
              <w:t>Validate event; assess scope, criticality, data, clients, providers and safety.</w:t>
            </w:r>
          </w:p>
        </w:tc>
        <w:tc>
          <w:tcPr>
            <w:tcW w:type="dxa" w:w="1958"/>
            <w:tcMar>
              <w:top w:w="80" w:type="dxa"/>
              <w:start w:w="110" w:type="dxa"/>
              <w:bottom w:w="80" w:type="dxa"/>
              <w:end w:w="110" w:type="dxa"/>
            </w:tcMar>
            <w:vAlign w:val="center"/>
            <w:shd w:fill="F8FAFC"/>
          </w:tcPr>
          <w:p>
            <w:pPr>
              <w:widowControl/>
              <w:spacing w:after="0"/>
            </w:pPr>
            <w:r>
              <w:rPr>
                <w:rFonts w:ascii="Calibri" w:hAnsi="Calibri"/>
                <w:b w:val="0"/>
                <w:color w:val="1F2937"/>
                <w:sz w:val="14"/>
              </w:rPr>
              <w:t>Response path and cadence set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color w:val="1F4D78"/>
                <w:sz w:val="14"/>
              </w:rPr>
              <w:t>Contain</w:t>
            </w:r>
          </w:p>
        </w:tc>
        <w:tc>
          <w:tcPr>
            <w:tcW w:type="dxa" w:w="6408"/>
            <w:tcMar>
              <w:top w:w="80" w:type="dxa"/>
              <w:start w:w="110" w:type="dxa"/>
              <w:bottom w:w="80" w:type="dxa"/>
              <w:end w:w="110" w:type="dxa"/>
            </w:tcMar>
            <w:vAlign w:val="center"/>
          </w:tcPr>
          <w:p>
            <w:pPr>
              <w:widowControl/>
              <w:spacing w:after="0"/>
            </w:pPr>
            <w:r>
              <w:rPr>
                <w:rFonts w:ascii="Calibri" w:hAnsi="Calibri"/>
                <w:b w:val="0"/>
                <w:color w:val="1F2937"/>
                <w:sz w:val="14"/>
              </w:rPr>
              <w:t>Limit spread/impact; preserve evidence; assess business trade-offs.</w:t>
            </w:r>
          </w:p>
        </w:tc>
        <w:tc>
          <w:tcPr>
            <w:tcW w:type="dxa" w:w="1958"/>
            <w:tcMar>
              <w:top w:w="80" w:type="dxa"/>
              <w:start w:w="110" w:type="dxa"/>
              <w:bottom w:w="80" w:type="dxa"/>
              <w:end w:w="110" w:type="dxa"/>
            </w:tcMar>
            <w:vAlign w:val="center"/>
          </w:tcPr>
          <w:p>
            <w:pPr>
              <w:widowControl/>
              <w:spacing w:after="0"/>
            </w:pPr>
            <w:r>
              <w:rPr>
                <w:rFonts w:ascii="Calibri" w:hAnsi="Calibri"/>
                <w:b w:val="0"/>
                <w:color w:val="1F2937"/>
                <w:sz w:val="14"/>
              </w:rPr>
              <w:t>Material propagation controlled</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color w:val="1F4D78"/>
                <w:sz w:val="14"/>
              </w:rPr>
              <w:t>Investigate</w:t>
            </w:r>
          </w:p>
        </w:tc>
        <w:tc>
          <w:tcPr>
            <w:tcW w:type="dxa" w:w="6408"/>
            <w:tcMar>
              <w:top w:w="80" w:type="dxa"/>
              <w:start w:w="110" w:type="dxa"/>
              <w:bottom w:w="80" w:type="dxa"/>
              <w:end w:w="110" w:type="dxa"/>
            </w:tcMar>
            <w:vAlign w:val="center"/>
            <w:shd w:fill="F8FAFC"/>
          </w:tcPr>
          <w:p>
            <w:pPr>
              <w:widowControl/>
              <w:spacing w:after="0"/>
            </w:pPr>
            <w:r>
              <w:rPr>
                <w:rFonts w:ascii="Calibri" w:hAnsi="Calibri"/>
                <w:b w:val="0"/>
                <w:color w:val="1F2937"/>
                <w:sz w:val="14"/>
              </w:rPr>
              <w:t>Determine timeline, indicators, cause hypotheses, affected data/services.</w:t>
            </w:r>
          </w:p>
        </w:tc>
        <w:tc>
          <w:tcPr>
            <w:tcW w:type="dxa" w:w="1958"/>
            <w:tcMar>
              <w:top w:w="80" w:type="dxa"/>
              <w:start w:w="110" w:type="dxa"/>
              <w:bottom w:w="80" w:type="dxa"/>
              <w:end w:w="110" w:type="dxa"/>
            </w:tcMar>
            <w:vAlign w:val="center"/>
            <w:shd w:fill="F8FAFC"/>
          </w:tcPr>
          <w:p>
            <w:pPr>
              <w:widowControl/>
              <w:spacing w:after="0"/>
            </w:pPr>
            <w:r>
              <w:rPr>
                <w:rFonts w:ascii="Calibri" w:hAnsi="Calibri"/>
                <w:b w:val="0"/>
                <w:color w:val="1F2937"/>
                <w:sz w:val="14"/>
              </w:rPr>
              <w:t>Sufficient facts for decisions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color w:val="1F4D78"/>
                <w:sz w:val="14"/>
              </w:rPr>
              <w:t>Classify &amp; report</w:t>
            </w:r>
          </w:p>
        </w:tc>
        <w:tc>
          <w:tcPr>
            <w:tcW w:type="dxa" w:w="6408"/>
            <w:tcMar>
              <w:top w:w="80" w:type="dxa"/>
              <w:start w:w="110" w:type="dxa"/>
              <w:bottom w:w="80" w:type="dxa"/>
              <w:end w:w="110" w:type="dxa"/>
            </w:tcMar>
            <w:vAlign w:val="center"/>
          </w:tcPr>
          <w:p>
            <w:pPr>
              <w:widowControl/>
              <w:spacing w:after="0"/>
            </w:pPr>
            <w:r>
              <w:rPr>
                <w:rFonts w:ascii="Calibri" w:hAnsi="Calibri"/>
                <w:b w:val="0"/>
                <w:color w:val="1F2937"/>
                <w:sz w:val="14"/>
              </w:rPr>
              <w:t>Apply RTS thresholds; submit reports; notify clients/others where required.</w:t>
            </w:r>
          </w:p>
        </w:tc>
        <w:tc>
          <w:tcPr>
            <w:tcW w:type="dxa" w:w="1958"/>
            <w:tcMar>
              <w:top w:w="80" w:type="dxa"/>
              <w:start w:w="110" w:type="dxa"/>
              <w:bottom w:w="80" w:type="dxa"/>
              <w:end w:w="110" w:type="dxa"/>
            </w:tcMar>
            <w:vAlign w:val="center"/>
          </w:tcPr>
          <w:p>
            <w:pPr>
              <w:widowControl/>
              <w:spacing w:after="0"/>
            </w:pPr>
            <w:r>
              <w:rPr>
                <w:rFonts w:ascii="Calibri" w:hAnsi="Calibri"/>
                <w:b w:val="0"/>
                <w:color w:val="1F2937"/>
                <w:sz w:val="14"/>
              </w:rPr>
              <w:t>Current reporting obligations met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color w:val="1F4D78"/>
                <w:sz w:val="14"/>
              </w:rPr>
              <w:t>Eradicate &amp; recover</w:t>
            </w:r>
          </w:p>
        </w:tc>
        <w:tc>
          <w:tcPr>
            <w:tcW w:type="dxa" w:w="6408"/>
            <w:tcMar>
              <w:top w:w="80" w:type="dxa"/>
              <w:start w:w="110" w:type="dxa"/>
              <w:bottom w:w="80" w:type="dxa"/>
              <w:end w:w="110" w:type="dxa"/>
            </w:tcMar>
            <w:vAlign w:val="center"/>
            <w:shd w:fill="F8FAFC"/>
          </w:tcPr>
          <w:p>
            <w:pPr>
              <w:widowControl/>
              <w:spacing w:after="0"/>
            </w:pPr>
            <w:r>
              <w:rPr>
                <w:rFonts w:ascii="Calibri" w:hAnsi="Calibri"/>
                <w:b w:val="0"/>
                <w:color w:val="1F2937"/>
                <w:sz w:val="14"/>
              </w:rPr>
              <w:t>Remove cause, restore clean service, reconcile and monitor.</w:t>
            </w:r>
          </w:p>
        </w:tc>
        <w:tc>
          <w:tcPr>
            <w:tcW w:type="dxa" w:w="1958"/>
            <w:tcMar>
              <w:top w:w="80" w:type="dxa"/>
              <w:start w:w="110" w:type="dxa"/>
              <w:bottom w:w="80" w:type="dxa"/>
              <w:end w:w="110" w:type="dxa"/>
            </w:tcMar>
            <w:vAlign w:val="center"/>
            <w:shd w:fill="F8FAFC"/>
          </w:tcPr>
          <w:p>
            <w:pPr>
              <w:widowControl/>
              <w:spacing w:after="0"/>
            </w:pPr>
            <w:r>
              <w:rPr>
                <w:rFonts w:ascii="Calibri" w:hAnsi="Calibri"/>
                <w:b w:val="0"/>
                <w:color w:val="1F2937"/>
                <w:sz w:val="14"/>
              </w:rPr>
              <w:t>Business and technical validation</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color w:val="1F4D78"/>
                <w:sz w:val="14"/>
              </w:rPr>
              <w:t>Close &amp; learn</w:t>
            </w:r>
          </w:p>
        </w:tc>
        <w:tc>
          <w:tcPr>
            <w:tcW w:type="dxa" w:w="6408"/>
            <w:tcMar>
              <w:top w:w="80" w:type="dxa"/>
              <w:start w:w="110" w:type="dxa"/>
              <w:bottom w:w="80" w:type="dxa"/>
              <w:end w:w="110" w:type="dxa"/>
            </w:tcMar>
            <w:vAlign w:val="center"/>
          </w:tcPr>
          <w:p>
            <w:pPr>
              <w:widowControl/>
              <w:spacing w:after="0"/>
            </w:pPr>
            <w:r>
              <w:rPr>
                <w:rFonts w:ascii="Calibri" w:hAnsi="Calibri"/>
                <w:b w:val="0"/>
                <w:color w:val="1F2937"/>
                <w:sz w:val="14"/>
              </w:rPr>
              <w:t>Root cause, costs, lessons, actions, approvals and evidence.</w:t>
            </w:r>
          </w:p>
        </w:tc>
        <w:tc>
          <w:tcPr>
            <w:tcW w:type="dxa" w:w="1958"/>
            <w:tcMar>
              <w:top w:w="80" w:type="dxa"/>
              <w:start w:w="110" w:type="dxa"/>
              <w:bottom w:w="80" w:type="dxa"/>
              <w:end w:w="110" w:type="dxa"/>
            </w:tcMar>
            <w:vAlign w:val="center"/>
          </w:tcPr>
          <w:p>
            <w:pPr>
              <w:widowControl/>
              <w:spacing w:after="0"/>
            </w:pPr>
            <w:r>
              <w:rPr>
                <w:rFonts w:ascii="Calibri" w:hAnsi="Calibri"/>
                <w:b w:val="0"/>
                <w:color w:val="1F2937"/>
                <w:sz w:val="14"/>
              </w:rPr>
              <w:t>Closure approved; actions transferred</w:t>
            </w:r>
          </w:p>
        </w:tc>
      </w:tr>
    </w:tbl>
    <w:p>
      <w:pPr>
        <w:widowControl/>
        <w:spacing w:after="0"/>
      </w:pPr>
    </w:p>
    <w:p>
      <w:pPr>
        <w:pStyle w:val="Heading1"/>
        <w:widowControl/>
      </w:pPr>
      <w:r>
        <w:t>5. Severity and escalation</w:t>
      </w:r>
    </w:p>
    <w:tbl>
      <w:tblPr>
        <w:tblStyle w:val="TableGrid"/>
        <w:tblW w:type="auto" w:w="0"/>
        <w:jc w:val="center"/>
        <w:tblLayout w:type="fixed"/>
        <w:tblLook w:firstColumn="1" w:firstRow="1" w:lastColumn="0" w:lastRow="0" w:noHBand="0" w:noVBand="1" w:val="04A0"/>
      </w:tblPr>
      <w:tblGrid>
        <w:gridCol w:w="1512"/>
        <w:gridCol w:w="5544"/>
        <w:gridCol w:w="2822"/>
      </w:tblGrid>
      <w:tr>
        <w:trPr>
          <w:tblHeader w:val="true"/>
          <w:tblHeader w:val="true"/>
        </w:trPr>
        <w:tc>
          <w:tcPr>
            <w:tcW w:type="dxa" w:w="1512"/>
            <w:shd w:fill="17365D"/>
            <w:tcMar>
              <w:top w:w="80" w:type="dxa"/>
              <w:start w:w="110" w:type="dxa"/>
              <w:bottom w:w="80" w:type="dxa"/>
              <w:end w:w="110" w:type="dxa"/>
            </w:tcMar>
            <w:vAlign w:val="center"/>
          </w:tcPr>
          <w:p>
            <w:pPr>
              <w:widowControl/>
            </w:pPr>
            <w:r>
              <w:rPr>
                <w:rFonts w:ascii="Calibri" w:hAnsi="Calibri"/>
                <w:b/>
                <w:color w:val="FFFFFF"/>
                <w:sz w:val="15"/>
              </w:rPr>
              <w:t>Internal severity</w:t>
            </w:r>
          </w:p>
        </w:tc>
        <w:tc>
          <w:tcPr>
            <w:tcW w:type="dxa" w:w="5544"/>
            <w:shd w:fill="17365D"/>
            <w:tcMar>
              <w:top w:w="80" w:type="dxa"/>
              <w:start w:w="110" w:type="dxa"/>
              <w:bottom w:w="80" w:type="dxa"/>
              <w:end w:w="110" w:type="dxa"/>
            </w:tcMar>
            <w:vAlign w:val="center"/>
          </w:tcPr>
          <w:p>
            <w:pPr>
              <w:widowControl/>
            </w:pPr>
            <w:r>
              <w:rPr>
                <w:rFonts w:ascii="Calibri" w:hAnsi="Calibri"/>
                <w:b/>
                <w:color w:val="FFFFFF"/>
                <w:sz w:val="15"/>
              </w:rPr>
              <w:t>Illustrative condition</w:t>
            </w:r>
          </w:p>
        </w:tc>
        <w:tc>
          <w:tcPr>
            <w:tcW w:type="dxa" w:w="2822"/>
            <w:shd w:fill="17365D"/>
            <w:tcMar>
              <w:top w:w="80" w:type="dxa"/>
              <w:start w:w="110" w:type="dxa"/>
              <w:bottom w:w="80" w:type="dxa"/>
              <w:end w:w="110" w:type="dxa"/>
            </w:tcMar>
            <w:vAlign w:val="center"/>
          </w:tcPr>
          <w:p>
            <w:pPr>
              <w:widowControl/>
            </w:pPr>
            <w:r>
              <w:rPr>
                <w:rFonts w:ascii="Calibri" w:hAnsi="Calibri"/>
                <w:b/>
                <w:color w:val="FFFFFF"/>
                <w:sz w:val="15"/>
              </w:rPr>
              <w:t>Escalation</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color w:val="1F4D78"/>
                <w:sz w:val="15"/>
              </w:rPr>
              <w:t>S1 Critical</w:t>
            </w:r>
          </w:p>
        </w:tc>
        <w:tc>
          <w:tcPr>
            <w:tcW w:type="dxa" w:w="5544"/>
            <w:tcMar>
              <w:top w:w="80" w:type="dxa"/>
              <w:start w:w="110" w:type="dxa"/>
              <w:bottom w:w="80" w:type="dxa"/>
              <w:end w:w="110" w:type="dxa"/>
            </w:tcMar>
            <w:vAlign w:val="center"/>
          </w:tcPr>
          <w:p>
            <w:pPr>
              <w:widowControl/>
              <w:spacing w:after="0"/>
            </w:pPr>
            <w:r>
              <w:rPr>
                <w:rFonts w:ascii="Calibri" w:hAnsi="Calibri"/>
                <w:b w:val="0"/>
                <w:color w:val="1F2937"/>
                <w:sz w:val="15"/>
              </w:rPr>
              <w:t>Critical function unavailable; suspected material compromise; major-incident threshold likely.</w:t>
            </w:r>
          </w:p>
        </w:tc>
        <w:tc>
          <w:tcPr>
            <w:tcW w:type="dxa" w:w="2822"/>
            <w:tcMar>
              <w:top w:w="80" w:type="dxa"/>
              <w:start w:w="110" w:type="dxa"/>
              <w:bottom w:w="80" w:type="dxa"/>
              <w:end w:w="110" w:type="dxa"/>
            </w:tcMar>
            <w:vAlign w:val="center"/>
          </w:tcPr>
          <w:p>
            <w:pPr>
              <w:widowControl/>
              <w:spacing w:after="0"/>
            </w:pPr>
            <w:r>
              <w:rPr>
                <w:rFonts w:ascii="Calibri" w:hAnsi="Calibri"/>
                <w:b w:val="0"/>
                <w:color w:val="1F2937"/>
                <w:sz w:val="15"/>
              </w:rPr>
              <w:t>Immediate executive, compliance and board-chair escalation; continuous coordination.</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color w:val="1F4D78"/>
                <w:sz w:val="15"/>
              </w:rPr>
              <w:t>S2 High</w:t>
            </w:r>
          </w:p>
        </w:tc>
        <w:tc>
          <w:tcPr>
            <w:tcW w:type="dxa" w:w="5544"/>
            <w:tcMar>
              <w:top w:w="80" w:type="dxa"/>
              <w:start w:w="110" w:type="dxa"/>
              <w:bottom w:w="80" w:type="dxa"/>
              <w:end w:w="110" w:type="dxa"/>
            </w:tcMar>
            <w:vAlign w:val="center"/>
            <w:shd w:fill="F8FAFC"/>
          </w:tcPr>
          <w:p>
            <w:pPr>
              <w:widowControl/>
              <w:spacing w:after="0"/>
            </w:pPr>
            <w:r>
              <w:rPr>
                <w:rFonts w:ascii="Calibri" w:hAnsi="Calibri"/>
                <w:b w:val="0"/>
                <w:color w:val="1F2937"/>
                <w:sz w:val="15"/>
              </w:rPr>
              <w:t>Material service/client/data impact; threshold possible; provider crisis.</w:t>
            </w:r>
          </w:p>
        </w:tc>
        <w:tc>
          <w:tcPr>
            <w:tcW w:type="dxa" w:w="2822"/>
            <w:tcMar>
              <w:top w:w="80" w:type="dxa"/>
              <w:start w:w="110" w:type="dxa"/>
              <w:bottom w:w="80" w:type="dxa"/>
              <w:end w:w="110" w:type="dxa"/>
            </w:tcMar>
            <w:vAlign w:val="center"/>
            <w:shd w:fill="F8FAFC"/>
          </w:tcPr>
          <w:p>
            <w:pPr>
              <w:widowControl/>
              <w:spacing w:after="0"/>
            </w:pPr>
            <w:r>
              <w:rPr>
                <w:rFonts w:ascii="Calibri" w:hAnsi="Calibri"/>
                <w:b w:val="0"/>
                <w:color w:val="1F2937"/>
                <w:sz w:val="15"/>
              </w:rPr>
              <w:t>Incident team and executive; frequent compliance review.</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color w:val="1F4D78"/>
                <w:sz w:val="15"/>
              </w:rPr>
              <w:t>S3 Medium</w:t>
            </w:r>
          </w:p>
        </w:tc>
        <w:tc>
          <w:tcPr>
            <w:tcW w:type="dxa" w:w="5544"/>
            <w:tcMar>
              <w:top w:w="80" w:type="dxa"/>
              <w:start w:w="110" w:type="dxa"/>
              <w:bottom w:w="80" w:type="dxa"/>
              <w:end w:w="110" w:type="dxa"/>
            </w:tcMar>
            <w:vAlign w:val="center"/>
          </w:tcPr>
          <w:p>
            <w:pPr>
              <w:widowControl/>
              <w:spacing w:after="0"/>
            </w:pPr>
            <w:r>
              <w:rPr>
                <w:rFonts w:ascii="Calibri" w:hAnsi="Calibri"/>
                <w:b w:val="0"/>
                <w:color w:val="1F2937"/>
                <w:sz w:val="15"/>
              </w:rPr>
              <w:t>Contained impact with workaround; no major threshold currently.</w:t>
            </w:r>
          </w:p>
        </w:tc>
        <w:tc>
          <w:tcPr>
            <w:tcW w:type="dxa" w:w="2822"/>
            <w:tcMar>
              <w:top w:w="80" w:type="dxa"/>
              <w:start w:w="110" w:type="dxa"/>
              <w:bottom w:w="80" w:type="dxa"/>
              <w:end w:w="110" w:type="dxa"/>
            </w:tcMar>
            <w:vAlign w:val="center"/>
          </w:tcPr>
          <w:p>
            <w:pPr>
              <w:widowControl/>
              <w:spacing w:after="0"/>
            </w:pPr>
            <w:r>
              <w:rPr>
                <w:rFonts w:ascii="Calibri" w:hAnsi="Calibri"/>
                <w:b w:val="0"/>
                <w:color w:val="1F2937"/>
                <w:sz w:val="15"/>
              </w:rPr>
              <w:t>Owner and compliance monitoring.</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color w:val="1F4D78"/>
                <w:sz w:val="15"/>
              </w:rPr>
              <w:t>S4 Low</w:t>
            </w:r>
          </w:p>
        </w:tc>
        <w:tc>
          <w:tcPr>
            <w:tcW w:type="dxa" w:w="5544"/>
            <w:tcMar>
              <w:top w:w="80" w:type="dxa"/>
              <w:start w:w="110" w:type="dxa"/>
              <w:bottom w:w="80" w:type="dxa"/>
              <w:end w:w="110" w:type="dxa"/>
            </w:tcMar>
            <w:vAlign w:val="center"/>
            <w:shd w:fill="F8FAFC"/>
          </w:tcPr>
          <w:p>
            <w:pPr>
              <w:widowControl/>
              <w:spacing w:after="0"/>
            </w:pPr>
            <w:r>
              <w:rPr>
                <w:rFonts w:ascii="Calibri" w:hAnsi="Calibri"/>
                <w:b w:val="0"/>
                <w:color w:val="1F2937"/>
                <w:sz w:val="15"/>
              </w:rPr>
              <w:t>Minor event / near miss with limited impact.</w:t>
            </w:r>
          </w:p>
        </w:tc>
        <w:tc>
          <w:tcPr>
            <w:tcW w:type="dxa" w:w="2822"/>
            <w:tcMar>
              <w:top w:w="80" w:type="dxa"/>
              <w:start w:w="110" w:type="dxa"/>
              <w:bottom w:w="80" w:type="dxa"/>
              <w:end w:w="110" w:type="dxa"/>
            </w:tcMar>
            <w:vAlign w:val="center"/>
            <w:shd w:fill="F8FAFC"/>
          </w:tcPr>
          <w:p>
            <w:pPr>
              <w:widowControl/>
              <w:spacing w:after="0"/>
            </w:pPr>
            <w:r>
              <w:rPr>
                <w:rFonts w:ascii="Calibri" w:hAnsi="Calibri"/>
                <w:b w:val="0"/>
                <w:color w:val="1F2937"/>
                <w:sz w:val="15"/>
              </w:rPr>
              <w:t>Operational handling and trend review.</w:t>
            </w:r>
          </w:p>
        </w:tc>
      </w:tr>
    </w:tbl>
    <w:p>
      <w:pPr>
        <w:widowControl/>
        <w:spacing w:after="0"/>
      </w:pPr>
    </w:p>
    <w:p>
      <w:pPr>
        <w:pStyle w:val="Heading1"/>
        <w:widowControl/>
      </w:pPr>
      <w:r>
        <w:t>6. DORA classification decision tree</w:t>
      </w:r>
    </w:p>
    <w:p>
      <w:pPr>
        <w:spacing w:after="100"/>
      </w:pPr>
      <w:r>
        <w:t>Apply Annex A for every potentially material ICT-related incident and retain the completed classification, threshold evidence, approval and reassessment record in D07.</w:t>
      </w:r>
    </w:p>
    <w:p>
      <w:pPr>
        <w:widowControl/>
      </w:pPr>
      <w:r>
        <w:t>A major incident requires affected critical services and either (i) the data-loss threshold involving successful malicious unauthorised access, or (ii) at least two other materiality thresholds. Article 16 entities are exempt from the recurring-incident aggregation rule in RTS 2024/1772 Article 8(2), but recurring events shall still be trended and risk-assessed.</w:t>
      </w:r>
    </w:p>
    <w:tbl>
      <w:tblPr>
        <w:tblStyle w:val="TableGrid"/>
        <w:tblW w:type="auto" w:w="0"/>
        <w:jc w:val="center"/>
        <w:tblLayout w:type="fixed"/>
        <w:tblLook w:firstColumn="1" w:firstRow="1" w:lastColumn="0" w:lastRow="0" w:noHBand="0" w:noVBand="1" w:val="04A0"/>
      </w:tblPr>
      <w:tblGrid>
        <w:gridCol w:w="2520"/>
        <w:gridCol w:w="7358"/>
      </w:tblGrid>
      <w:tr>
        <w:trPr>
          <w:tblHeader w:val="true"/>
          <w:tblHeader w:val="true"/>
        </w:trPr>
        <w:tc>
          <w:tcPr>
            <w:tcW w:type="dxa" w:w="2520"/>
            <w:shd w:fill="17365D"/>
            <w:tcMar>
              <w:top w:w="80" w:type="dxa"/>
              <w:start w:w="110" w:type="dxa"/>
              <w:bottom w:w="80" w:type="dxa"/>
              <w:end w:w="110" w:type="dxa"/>
            </w:tcMar>
            <w:vAlign w:val="center"/>
          </w:tcPr>
          <w:p>
            <w:pPr>
              <w:widowControl/>
            </w:pPr>
            <w:r>
              <w:rPr>
                <w:rFonts w:ascii="Calibri" w:hAnsi="Calibri"/>
                <w:b/>
                <w:color w:val="FFFFFF"/>
                <w:sz w:val="15"/>
              </w:rPr>
              <w:t>Criterion</w:t>
            </w:r>
          </w:p>
        </w:tc>
        <w:tc>
          <w:tcPr>
            <w:tcW w:type="dxa" w:w="7358"/>
            <w:shd w:fill="17365D"/>
            <w:tcMar>
              <w:top w:w="80" w:type="dxa"/>
              <w:start w:w="110" w:type="dxa"/>
              <w:bottom w:w="80" w:type="dxa"/>
              <w:end w:w="110" w:type="dxa"/>
            </w:tcMar>
            <w:vAlign w:val="center"/>
          </w:tcPr>
          <w:p>
            <w:pPr>
              <w:widowControl/>
            </w:pPr>
            <w:r>
              <w:rPr>
                <w:rFonts w:ascii="Calibri" w:hAnsi="Calibri"/>
                <w:b/>
                <w:color w:val="FFFFFF"/>
                <w:sz w:val="15"/>
              </w:rPr>
              <w:t>Threshold / assessment</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5"/>
              </w:rPr>
              <w:t>Critical service</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5"/>
              </w:rPr>
              <w:t>The incident affects ICT services or network/information systems supporting critical or important functions, financial services requiring authorisation/registration, or successful malicious unauthorised access to network/information systems.</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5"/>
              </w:rPr>
              <w:t>Clients / counterparts / transactions</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5"/>
              </w:rPr>
              <w:t>Any trigger: &gt;10% clients using affected service; &gt;100,000 clients; &gt;30% relevant financial counterparts; &gt;10% daily average transaction count or value; or identified relevant clients/counterparts affected.</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5"/>
              </w:rPr>
              <w:t>Reputational impact</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5"/>
              </w:rPr>
              <w:t>RTS Article 2 condition met, including media, complaints, regulatory attention or likely inability to meet regulatory requirements.</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5"/>
              </w:rPr>
              <w:t>Duration / downtime</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5"/>
              </w:rPr>
              <w:t>Incident &gt;24 hours, or downtime &gt;2 hours for ICT services supporting a critical or important function.</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5"/>
              </w:rPr>
              <w:t>Geographical spread</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5"/>
              </w:rPr>
              <w:t>Impact in two or more Member States.</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5"/>
              </w:rPr>
              <w:t>Data loss</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5"/>
              </w:rPr>
              <w:t>Impact on availability/authenticity/integrity/confidentiality adversely affects business objectives or regulatory duties; or successful malicious unauthorised access may result in data loss.</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5"/>
              </w:rPr>
              <w:t>Economic impact</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5"/>
              </w:rPr>
              <w:t>Costs and losses exceed or are likely to exceed EUR 100,000.</w:t>
            </w:r>
          </w:p>
        </w:tc>
      </w:tr>
    </w:tbl>
    <w:p>
      <w:pPr>
        <w:widowControl/>
        <w:spacing w:after="0"/>
      </w:pPr>
    </w:p>
    <w:tbl>
      <w:tblPr>
        <w:tblStyle w:val="TableGrid"/>
        <w:tblW w:type="auto" w:w="0"/>
        <w:jc w:val="center"/>
        <w:tblLayout w:type="fixed"/>
        <w:tblLook w:firstColumn="1" w:firstRow="1" w:lastColumn="0" w:lastRow="0" w:noHBand="0" w:noVBand="1" w:val="04A0"/>
      </w:tblPr>
      <w:tblGrid>
        <w:gridCol w:w="3744"/>
        <w:gridCol w:w="3067"/>
        <w:gridCol w:w="3067"/>
      </w:tblGrid>
      <w:tr>
        <w:trPr>
          <w:tblHeader w:val="true"/>
          <w:tblHeader w:val="true"/>
        </w:trPr>
        <w:tc>
          <w:tcPr>
            <w:tcW w:type="dxa" w:w="3744"/>
            <w:shd w:fill="17365D"/>
            <w:tcMar>
              <w:top w:w="80" w:type="dxa"/>
              <w:start w:w="110" w:type="dxa"/>
              <w:bottom w:w="80" w:type="dxa"/>
              <w:end w:w="110" w:type="dxa"/>
            </w:tcMar>
            <w:vAlign w:val="center"/>
          </w:tcPr>
          <w:p>
            <w:pPr>
              <w:widowControl/>
            </w:pPr>
            <w:r>
              <w:rPr>
                <w:rFonts w:ascii="Calibri" w:hAnsi="Calibri"/>
                <w:b/>
                <w:color w:val="FFFFFF"/>
                <w:sz w:val="15"/>
              </w:rPr>
              <w:t>Decision step</w:t>
            </w:r>
          </w:p>
        </w:tc>
        <w:tc>
          <w:tcPr>
            <w:tcW w:type="dxa" w:w="3067"/>
            <w:shd w:fill="17365D"/>
            <w:tcMar>
              <w:top w:w="80" w:type="dxa"/>
              <w:start w:w="110" w:type="dxa"/>
              <w:bottom w:w="80" w:type="dxa"/>
              <w:end w:w="110" w:type="dxa"/>
            </w:tcMar>
            <w:vAlign w:val="center"/>
          </w:tcPr>
          <w:p>
            <w:pPr>
              <w:widowControl/>
            </w:pPr>
            <w:r>
              <w:rPr>
                <w:rFonts w:ascii="Calibri" w:hAnsi="Calibri"/>
                <w:b/>
                <w:color w:val="FFFFFF"/>
                <w:sz w:val="15"/>
              </w:rPr>
              <w:t>Yes</w:t>
            </w:r>
          </w:p>
        </w:tc>
        <w:tc>
          <w:tcPr>
            <w:tcW w:type="dxa" w:w="3067"/>
            <w:shd w:fill="17365D"/>
            <w:tcMar>
              <w:top w:w="80" w:type="dxa"/>
              <w:start w:w="110" w:type="dxa"/>
              <w:bottom w:w="80" w:type="dxa"/>
              <w:end w:w="110" w:type="dxa"/>
            </w:tcMar>
            <w:vAlign w:val="center"/>
          </w:tcPr>
          <w:p>
            <w:pPr>
              <w:widowControl/>
            </w:pPr>
            <w:r>
              <w:rPr>
                <w:rFonts w:ascii="Calibri" w:hAnsi="Calibri"/>
                <w:b/>
                <w:color w:val="FFFFFF"/>
                <w:sz w:val="15"/>
              </w:rPr>
              <w:t>No</w:t>
            </w:r>
          </w:p>
        </w:tc>
      </w:tr>
      <w:tr>
        <w:trPr>
          <w:cantSplit/>
        </w:trPr>
        <w:tc>
          <w:tcPr>
            <w:tcW w:type="dxa" w:w="3744"/>
            <w:tcMar>
              <w:top w:w="80" w:type="dxa"/>
              <w:start w:w="110" w:type="dxa"/>
              <w:bottom w:w="80" w:type="dxa"/>
              <w:end w:w="110" w:type="dxa"/>
            </w:tcMar>
            <w:vAlign w:val="center"/>
          </w:tcPr>
          <w:p>
            <w:pPr>
              <w:widowControl/>
              <w:spacing w:after="0"/>
            </w:pPr>
            <w:r>
              <w:rPr>
                <w:rFonts w:ascii="Calibri" w:hAnsi="Calibri"/>
                <w:b/>
                <w:color w:val="1F4D78"/>
                <w:sz w:val="15"/>
              </w:rPr>
              <w:t>1. ICT-related incident?</w:t>
            </w:r>
          </w:p>
        </w:tc>
        <w:tc>
          <w:tcPr>
            <w:tcW w:type="dxa" w:w="3067"/>
            <w:tcMar>
              <w:top w:w="80" w:type="dxa"/>
              <w:start w:w="110" w:type="dxa"/>
              <w:bottom w:w="80" w:type="dxa"/>
              <w:end w:w="110" w:type="dxa"/>
            </w:tcMar>
            <w:vAlign w:val="center"/>
          </w:tcPr>
          <w:p>
            <w:pPr>
              <w:widowControl/>
              <w:spacing w:after="0"/>
            </w:pPr>
            <w:r>
              <w:rPr>
                <w:rFonts w:ascii="Calibri" w:hAnsi="Calibri"/>
                <w:b w:val="0"/>
                <w:color w:val="1F2937"/>
                <w:sz w:val="15"/>
              </w:rPr>
              <w:t>Continue and log</w:t>
            </w:r>
          </w:p>
        </w:tc>
        <w:tc>
          <w:tcPr>
            <w:tcW w:type="dxa" w:w="3067"/>
            <w:tcMar>
              <w:top w:w="80" w:type="dxa"/>
              <w:start w:w="110" w:type="dxa"/>
              <w:bottom w:w="80" w:type="dxa"/>
              <w:end w:w="110" w:type="dxa"/>
            </w:tcMar>
            <w:vAlign w:val="center"/>
          </w:tcPr>
          <w:p>
            <w:pPr>
              <w:widowControl/>
              <w:spacing w:after="0"/>
            </w:pPr>
            <w:r>
              <w:rPr>
                <w:rFonts w:ascii="Calibri" w:hAnsi="Calibri"/>
                <w:b w:val="0"/>
                <w:color w:val="1F2937"/>
                <w:sz w:val="15"/>
              </w:rPr>
              <w:t>Handle as security/operational event</w:t>
            </w:r>
          </w:p>
        </w:tc>
      </w:tr>
      <w:tr>
        <w:trPr>
          <w:cantSplit/>
        </w:trPr>
        <w:tc>
          <w:tcPr>
            <w:tcW w:type="dxa" w:w="3744"/>
            <w:tcMar>
              <w:top w:w="80" w:type="dxa"/>
              <w:start w:w="110" w:type="dxa"/>
              <w:bottom w:w="80" w:type="dxa"/>
              <w:end w:w="110" w:type="dxa"/>
            </w:tcMar>
            <w:vAlign w:val="center"/>
            <w:shd w:fill="F8FAFC"/>
          </w:tcPr>
          <w:p>
            <w:pPr>
              <w:widowControl/>
              <w:spacing w:after="0"/>
            </w:pPr>
            <w:r>
              <w:rPr>
                <w:rFonts w:ascii="Calibri" w:hAnsi="Calibri"/>
                <w:b/>
                <w:color w:val="1F4D78"/>
                <w:sz w:val="15"/>
              </w:rPr>
              <w:t>2. Critical service affected?</w:t>
            </w:r>
          </w:p>
        </w:tc>
        <w:tc>
          <w:tcPr>
            <w:tcW w:type="dxa" w:w="3067"/>
            <w:tcMar>
              <w:top w:w="80" w:type="dxa"/>
              <w:start w:w="110" w:type="dxa"/>
              <w:bottom w:w="80" w:type="dxa"/>
              <w:end w:w="110" w:type="dxa"/>
            </w:tcMar>
            <w:vAlign w:val="center"/>
            <w:shd w:fill="F8FAFC"/>
          </w:tcPr>
          <w:p>
            <w:pPr>
              <w:widowControl/>
              <w:spacing w:after="0"/>
            </w:pPr>
            <w:r>
              <w:rPr>
                <w:rFonts w:ascii="Calibri" w:hAnsi="Calibri"/>
                <w:b w:val="0"/>
                <w:color w:val="1F2937"/>
                <w:sz w:val="15"/>
              </w:rPr>
              <w:t>Assess high thresholds</w:t>
            </w:r>
          </w:p>
        </w:tc>
        <w:tc>
          <w:tcPr>
            <w:tcW w:type="dxa" w:w="3067"/>
            <w:tcMar>
              <w:top w:w="80" w:type="dxa"/>
              <w:start w:w="110" w:type="dxa"/>
              <w:bottom w:w="80" w:type="dxa"/>
              <w:end w:w="110" w:type="dxa"/>
            </w:tcMar>
            <w:vAlign w:val="center"/>
            <w:shd w:fill="F8FAFC"/>
          </w:tcPr>
          <w:p>
            <w:pPr>
              <w:widowControl/>
              <w:spacing w:after="0"/>
            </w:pPr>
            <w:r>
              <w:rPr>
                <w:rFonts w:ascii="Calibri" w:hAnsi="Calibri"/>
                <w:b w:val="0"/>
                <w:color w:val="1F2937"/>
                <w:sz w:val="15"/>
              </w:rPr>
              <w:t>Not major under Article 8; monitor</w:t>
            </w:r>
          </w:p>
        </w:tc>
      </w:tr>
      <w:tr>
        <w:trPr>
          <w:cantSplit/>
        </w:trPr>
        <w:tc>
          <w:tcPr>
            <w:tcW w:type="dxa" w:w="3744"/>
            <w:tcMar>
              <w:top w:w="80" w:type="dxa"/>
              <w:start w:w="110" w:type="dxa"/>
              <w:bottom w:w="80" w:type="dxa"/>
              <w:end w:w="110" w:type="dxa"/>
            </w:tcMar>
            <w:vAlign w:val="center"/>
          </w:tcPr>
          <w:p>
            <w:pPr>
              <w:widowControl/>
              <w:spacing w:after="0"/>
            </w:pPr>
            <w:r>
              <w:rPr>
                <w:rFonts w:ascii="Calibri" w:hAnsi="Calibri"/>
                <w:b/>
                <w:color w:val="1F4D78"/>
                <w:sz w:val="15"/>
              </w:rPr>
              <w:t>3. Malicious unauthorised access data threshold met?</w:t>
            </w:r>
          </w:p>
        </w:tc>
        <w:tc>
          <w:tcPr>
            <w:tcW w:type="dxa" w:w="3067"/>
            <w:tcMar>
              <w:top w:w="80" w:type="dxa"/>
              <w:start w:w="110" w:type="dxa"/>
              <w:bottom w:w="80" w:type="dxa"/>
              <w:end w:w="110" w:type="dxa"/>
            </w:tcMar>
            <w:vAlign w:val="center"/>
          </w:tcPr>
          <w:p>
            <w:pPr>
              <w:widowControl/>
              <w:spacing w:after="0"/>
            </w:pPr>
            <w:r>
              <w:rPr>
                <w:rFonts w:ascii="Calibri" w:hAnsi="Calibri"/>
                <w:b w:val="0"/>
                <w:color w:val="1F2937"/>
                <w:sz w:val="15"/>
              </w:rPr>
              <w:t>Major incident</w:t>
            </w:r>
          </w:p>
        </w:tc>
        <w:tc>
          <w:tcPr>
            <w:tcW w:type="dxa" w:w="3067"/>
            <w:tcMar>
              <w:top w:w="80" w:type="dxa"/>
              <w:start w:w="110" w:type="dxa"/>
              <w:bottom w:w="80" w:type="dxa"/>
              <w:end w:w="110" w:type="dxa"/>
            </w:tcMar>
            <w:vAlign w:val="center"/>
          </w:tcPr>
          <w:p>
            <w:pPr>
              <w:widowControl/>
              <w:spacing w:after="0"/>
            </w:pPr>
            <w:r>
              <w:rPr>
                <w:rFonts w:ascii="Calibri" w:hAnsi="Calibri"/>
                <w:b w:val="0"/>
                <w:color w:val="1F2937"/>
                <w:sz w:val="15"/>
              </w:rPr>
              <w:t>Count other thresholds</w:t>
            </w:r>
          </w:p>
        </w:tc>
      </w:tr>
      <w:tr>
        <w:trPr>
          <w:cantSplit/>
        </w:trPr>
        <w:tc>
          <w:tcPr>
            <w:tcW w:type="dxa" w:w="3744"/>
            <w:tcMar>
              <w:top w:w="80" w:type="dxa"/>
              <w:start w:w="110" w:type="dxa"/>
              <w:bottom w:w="80" w:type="dxa"/>
              <w:end w:w="110" w:type="dxa"/>
            </w:tcMar>
            <w:vAlign w:val="center"/>
            <w:shd w:fill="F8FAFC"/>
          </w:tcPr>
          <w:p>
            <w:pPr>
              <w:widowControl/>
              <w:spacing w:after="0"/>
            </w:pPr>
            <w:r>
              <w:rPr>
                <w:rFonts w:ascii="Calibri" w:hAnsi="Calibri"/>
                <w:b/>
                <w:color w:val="1F4D78"/>
                <w:sz w:val="15"/>
              </w:rPr>
              <w:t>4. Two or more other thresholds met?</w:t>
            </w:r>
          </w:p>
        </w:tc>
        <w:tc>
          <w:tcPr>
            <w:tcW w:type="dxa" w:w="3067"/>
            <w:tcMar>
              <w:top w:w="80" w:type="dxa"/>
              <w:start w:w="110" w:type="dxa"/>
              <w:bottom w:w="80" w:type="dxa"/>
              <w:end w:w="110" w:type="dxa"/>
            </w:tcMar>
            <w:vAlign w:val="center"/>
            <w:shd w:fill="F8FAFC"/>
          </w:tcPr>
          <w:p>
            <w:pPr>
              <w:widowControl/>
              <w:spacing w:after="0"/>
            </w:pPr>
            <w:r>
              <w:rPr>
                <w:rFonts w:ascii="Calibri" w:hAnsi="Calibri"/>
                <w:b w:val="0"/>
                <w:color w:val="1F2937"/>
                <w:sz w:val="15"/>
              </w:rPr>
              <w:t>Major incident</w:t>
            </w:r>
          </w:p>
        </w:tc>
        <w:tc>
          <w:tcPr>
            <w:tcW w:type="dxa" w:w="3067"/>
            <w:tcMar>
              <w:top w:w="80" w:type="dxa"/>
              <w:start w:w="110" w:type="dxa"/>
              <w:bottom w:w="80" w:type="dxa"/>
              <w:end w:w="110" w:type="dxa"/>
            </w:tcMar>
            <w:vAlign w:val="center"/>
            <w:shd w:fill="F8FAFC"/>
          </w:tcPr>
          <w:p>
            <w:pPr>
              <w:widowControl/>
              <w:spacing w:after="0"/>
            </w:pPr>
            <w:r>
              <w:rPr>
                <w:rFonts w:ascii="Calibri" w:hAnsi="Calibri"/>
                <w:b w:val="0"/>
                <w:color w:val="1F2937"/>
                <w:sz w:val="15"/>
              </w:rPr>
              <w:t>Not major currently; reassess</w:t>
            </w:r>
          </w:p>
        </w:tc>
      </w:tr>
    </w:tbl>
    <w:p>
      <w:pPr>
        <w:widowControl/>
        <w:spacing w:after="0"/>
      </w:pPr>
    </w:p>
    <w:p>
      <w:pPr>
        <w:pStyle w:val="Heading1"/>
        <w:widowControl/>
      </w:pPr>
      <w:r>
        <w:t>7. Reporting deadlines</w:t>
      </w:r>
    </w:p>
    <w:p>
      <w:pPr>
        <w:spacing w:after="100"/>
      </w:pPr>
      <w:r>
        <w:t>Use Annex B to control the regulatory clock, required report fields, review, submission, acknowledgement and competent-authority follow-up.</w:t>
      </w:r>
    </w:p>
    <w:tbl>
      <w:tblPr>
        <w:tblStyle w:val="TableGrid"/>
        <w:tblW w:type="auto" w:w="0"/>
        <w:jc w:val="center"/>
        <w:tblLayout w:type="fixed"/>
        <w:tblLook w:firstColumn="1" w:firstRow="1" w:lastColumn="0" w:lastRow="0" w:noHBand="0" w:noVBand="1" w:val="04A0"/>
      </w:tblPr>
      <w:tblGrid>
        <w:gridCol w:w="2015"/>
        <w:gridCol w:w="3528"/>
        <w:gridCol w:w="4334"/>
      </w:tblGrid>
      <w:tr>
        <w:trPr>
          <w:tblHeader w:val="true"/>
          <w:tblHeader w:val="true"/>
        </w:trPr>
        <w:tc>
          <w:tcPr>
            <w:tcW w:type="dxa" w:w="2015"/>
            <w:shd w:fill="17365D"/>
            <w:tcMar>
              <w:top w:w="80" w:type="dxa"/>
              <w:start w:w="110" w:type="dxa"/>
              <w:bottom w:w="80" w:type="dxa"/>
              <w:end w:w="110" w:type="dxa"/>
            </w:tcMar>
            <w:vAlign w:val="center"/>
          </w:tcPr>
          <w:p>
            <w:pPr>
              <w:widowControl/>
            </w:pPr>
            <w:r>
              <w:rPr>
                <w:rFonts w:ascii="Calibri" w:hAnsi="Calibri"/>
                <w:b/>
                <w:color w:val="FFFFFF"/>
                <w:sz w:val="15"/>
              </w:rPr>
              <w:t>Report</w:t>
            </w:r>
          </w:p>
        </w:tc>
        <w:tc>
          <w:tcPr>
            <w:tcW w:type="dxa" w:w="3528"/>
            <w:shd w:fill="17365D"/>
            <w:tcMar>
              <w:top w:w="80" w:type="dxa"/>
              <w:start w:w="110" w:type="dxa"/>
              <w:bottom w:w="80" w:type="dxa"/>
              <w:end w:w="110" w:type="dxa"/>
            </w:tcMar>
            <w:vAlign w:val="center"/>
          </w:tcPr>
          <w:p>
            <w:pPr>
              <w:widowControl/>
            </w:pPr>
            <w:r>
              <w:rPr>
                <w:rFonts w:ascii="Calibri" w:hAnsi="Calibri"/>
                <w:b/>
                <w:color w:val="FFFFFF"/>
                <w:sz w:val="15"/>
              </w:rPr>
              <w:t>Deadline</w:t>
            </w:r>
          </w:p>
        </w:tc>
        <w:tc>
          <w:tcPr>
            <w:tcW w:type="dxa" w:w="4334"/>
            <w:shd w:fill="17365D"/>
            <w:tcMar>
              <w:top w:w="80" w:type="dxa"/>
              <w:start w:w="110" w:type="dxa"/>
              <w:bottom w:w="80" w:type="dxa"/>
              <w:end w:w="110" w:type="dxa"/>
            </w:tcMar>
            <w:vAlign w:val="center"/>
          </w:tcPr>
          <w:p>
            <w:pPr>
              <w:widowControl/>
            </w:pPr>
            <w:r>
              <w:rPr>
                <w:rFonts w:ascii="Calibri" w:hAnsi="Calibri"/>
                <w:b/>
                <w:color w:val="FFFFFF"/>
                <w:sz w:val="15"/>
              </w:rPr>
              <w:t>Operational rule</w:t>
            </w:r>
          </w:p>
        </w:tc>
      </w:tr>
      <w:tr>
        <w:trPr>
          <w:cantSplit/>
        </w:trPr>
        <w:tc>
          <w:tcPr>
            <w:tcW w:type="dxa" w:w="2015"/>
            <w:tcMar>
              <w:top w:w="80" w:type="dxa"/>
              <w:start w:w="110" w:type="dxa"/>
              <w:bottom w:w="80" w:type="dxa"/>
              <w:end w:w="110" w:type="dxa"/>
            </w:tcMar>
            <w:vAlign w:val="center"/>
          </w:tcPr>
          <w:p>
            <w:pPr>
              <w:widowControl/>
              <w:spacing w:after="0"/>
            </w:pPr>
            <w:r>
              <w:rPr>
                <w:rFonts w:ascii="Calibri" w:hAnsi="Calibri"/>
                <w:b/>
                <w:color w:val="1F4D78"/>
                <w:sz w:val="15"/>
              </w:rPr>
              <w:t>Initial notification</w:t>
            </w:r>
          </w:p>
        </w:tc>
        <w:tc>
          <w:tcPr>
            <w:tcW w:type="dxa" w:w="3528"/>
            <w:tcMar>
              <w:top w:w="80" w:type="dxa"/>
              <w:start w:w="110" w:type="dxa"/>
              <w:bottom w:w="80" w:type="dxa"/>
              <w:end w:w="110" w:type="dxa"/>
            </w:tcMar>
            <w:vAlign w:val="center"/>
          </w:tcPr>
          <w:p>
            <w:pPr>
              <w:widowControl/>
              <w:spacing w:after="0"/>
            </w:pPr>
            <w:r>
              <w:rPr>
                <w:rFonts w:ascii="Calibri" w:hAnsi="Calibri"/>
                <w:b w:val="0"/>
                <w:color w:val="1F2937"/>
                <w:sz w:val="15"/>
              </w:rPr>
              <w:t>As early as possible; within 4 hours of major classification and no later than 24 hours from awareness.</w:t>
            </w:r>
          </w:p>
        </w:tc>
        <w:tc>
          <w:tcPr>
            <w:tcW w:type="dxa" w:w="4334"/>
            <w:tcMar>
              <w:top w:w="80" w:type="dxa"/>
              <w:start w:w="110" w:type="dxa"/>
              <w:bottom w:w="80" w:type="dxa"/>
              <w:end w:w="110" w:type="dxa"/>
            </w:tcMar>
            <w:vAlign w:val="center"/>
          </w:tcPr>
          <w:p>
            <w:pPr>
              <w:widowControl/>
              <w:spacing w:after="0"/>
            </w:pPr>
            <w:r>
              <w:rPr>
                <w:rFonts w:ascii="Calibri" w:hAnsi="Calibri"/>
                <w:b w:val="0"/>
                <w:color w:val="1F2937"/>
                <w:sz w:val="15"/>
              </w:rPr>
              <w:t>If classification occurs after 24 hours, submit within 4 hours of classification.</w:t>
            </w:r>
          </w:p>
        </w:tc>
      </w:tr>
      <w:tr>
        <w:trPr>
          <w:cantSplit/>
        </w:trPr>
        <w:tc>
          <w:tcPr>
            <w:tcW w:type="dxa" w:w="2015"/>
            <w:tcMar>
              <w:top w:w="80" w:type="dxa"/>
              <w:start w:w="110" w:type="dxa"/>
              <w:bottom w:w="80" w:type="dxa"/>
              <w:end w:w="110" w:type="dxa"/>
            </w:tcMar>
            <w:vAlign w:val="center"/>
            <w:shd w:fill="F8FAFC"/>
          </w:tcPr>
          <w:p>
            <w:pPr>
              <w:widowControl/>
              <w:spacing w:after="0"/>
            </w:pPr>
            <w:r>
              <w:rPr>
                <w:rFonts w:ascii="Calibri" w:hAnsi="Calibri"/>
                <w:b/>
                <w:color w:val="1F4D78"/>
                <w:sz w:val="15"/>
              </w:rPr>
              <w:t>Intermediate report</w:t>
            </w:r>
          </w:p>
        </w:tc>
        <w:tc>
          <w:tcPr>
            <w:tcW w:type="dxa" w:w="3528"/>
            <w:tcMar>
              <w:top w:w="80" w:type="dxa"/>
              <w:start w:w="110" w:type="dxa"/>
              <w:bottom w:w="80" w:type="dxa"/>
              <w:end w:w="110" w:type="dxa"/>
            </w:tcMar>
            <w:vAlign w:val="center"/>
            <w:shd w:fill="F8FAFC"/>
          </w:tcPr>
          <w:p>
            <w:pPr>
              <w:widowControl/>
              <w:spacing w:after="0"/>
            </w:pPr>
            <w:r>
              <w:rPr>
                <w:rFonts w:ascii="Calibri" w:hAnsi="Calibri"/>
                <w:b w:val="0"/>
                <w:color w:val="1F2937"/>
                <w:sz w:val="15"/>
              </w:rPr>
              <w:t>No later than 72 hours after initial notification.</w:t>
            </w:r>
          </w:p>
        </w:tc>
        <w:tc>
          <w:tcPr>
            <w:tcW w:type="dxa" w:w="4334"/>
            <w:tcMar>
              <w:top w:w="80" w:type="dxa"/>
              <w:start w:w="110" w:type="dxa"/>
              <w:bottom w:w="80" w:type="dxa"/>
              <w:end w:w="110" w:type="dxa"/>
            </w:tcMar>
            <w:vAlign w:val="center"/>
            <w:shd w:fill="F8FAFC"/>
          </w:tcPr>
          <w:p>
            <w:pPr>
              <w:widowControl/>
              <w:spacing w:after="0"/>
            </w:pPr>
            <w:r>
              <w:rPr>
                <w:rFonts w:ascii="Calibri" w:hAnsi="Calibri"/>
                <w:b w:val="0"/>
                <w:color w:val="1F2937"/>
                <w:sz w:val="15"/>
              </w:rPr>
              <w:t>Submit even if unchanged; update without undue delay and when regular activities recover.</w:t>
            </w:r>
          </w:p>
        </w:tc>
      </w:tr>
      <w:tr>
        <w:trPr>
          <w:cantSplit/>
        </w:trPr>
        <w:tc>
          <w:tcPr>
            <w:tcW w:type="dxa" w:w="2015"/>
            <w:tcMar>
              <w:top w:w="80" w:type="dxa"/>
              <w:start w:w="110" w:type="dxa"/>
              <w:bottom w:w="80" w:type="dxa"/>
              <w:end w:w="110" w:type="dxa"/>
            </w:tcMar>
            <w:vAlign w:val="center"/>
          </w:tcPr>
          <w:p>
            <w:pPr>
              <w:widowControl/>
              <w:spacing w:after="0"/>
            </w:pPr>
            <w:r>
              <w:rPr>
                <w:rFonts w:ascii="Calibri" w:hAnsi="Calibri"/>
                <w:b/>
                <w:color w:val="1F4D78"/>
                <w:sz w:val="15"/>
              </w:rPr>
              <w:t>Final report</w:t>
            </w:r>
          </w:p>
        </w:tc>
        <w:tc>
          <w:tcPr>
            <w:tcW w:type="dxa" w:w="3528"/>
            <w:tcMar>
              <w:top w:w="80" w:type="dxa"/>
              <w:start w:w="110" w:type="dxa"/>
              <w:bottom w:w="80" w:type="dxa"/>
              <w:end w:w="110" w:type="dxa"/>
            </w:tcMar>
            <w:vAlign w:val="center"/>
          </w:tcPr>
          <w:p>
            <w:pPr>
              <w:widowControl/>
              <w:spacing w:after="0"/>
            </w:pPr>
            <w:r>
              <w:rPr>
                <w:rFonts w:ascii="Calibri" w:hAnsi="Calibri"/>
                <w:b w:val="0"/>
                <w:color w:val="1F2937"/>
                <w:sz w:val="15"/>
              </w:rPr>
              <w:t>No later than one month after the intermediate or latest updated intermediate report.</w:t>
            </w:r>
          </w:p>
        </w:tc>
        <w:tc>
          <w:tcPr>
            <w:tcW w:type="dxa" w:w="4334"/>
            <w:tcMar>
              <w:top w:w="80" w:type="dxa"/>
              <w:start w:w="110" w:type="dxa"/>
              <w:bottom w:w="80" w:type="dxa"/>
              <w:end w:w="110" w:type="dxa"/>
            </w:tcMar>
            <w:vAlign w:val="center"/>
          </w:tcPr>
          <w:p>
            <w:pPr>
              <w:widowControl/>
              <w:spacing w:after="0"/>
            </w:pPr>
            <w:r>
              <w:rPr>
                <w:rFonts w:ascii="Calibri" w:hAnsi="Calibri"/>
                <w:b w:val="0"/>
                <w:color w:val="1F2937"/>
                <w:sz w:val="15"/>
              </w:rPr>
              <w:t>Include root cause, resolution, impact, costs and corrective actions.</w:t>
            </w:r>
          </w:p>
        </w:tc>
      </w:tr>
      <w:tr>
        <w:trPr>
          <w:cantSplit/>
        </w:trPr>
        <w:tc>
          <w:tcPr>
            <w:tcW w:type="dxa" w:w="2015"/>
            <w:tcMar>
              <w:top w:w="80" w:type="dxa"/>
              <w:start w:w="110" w:type="dxa"/>
              <w:bottom w:w="80" w:type="dxa"/>
              <w:end w:w="110" w:type="dxa"/>
            </w:tcMar>
            <w:vAlign w:val="center"/>
            <w:shd w:fill="F8FAFC"/>
          </w:tcPr>
          <w:p>
            <w:pPr>
              <w:widowControl/>
              <w:spacing w:after="0"/>
            </w:pPr>
            <w:r>
              <w:rPr>
                <w:rFonts w:ascii="Calibri" w:hAnsi="Calibri"/>
                <w:b/>
                <w:color w:val="1F4D78"/>
                <w:sz w:val="15"/>
              </w:rPr>
              <w:t>Delay notice</w:t>
            </w:r>
          </w:p>
        </w:tc>
        <w:tc>
          <w:tcPr>
            <w:tcW w:type="dxa" w:w="3528"/>
            <w:tcMar>
              <w:top w:w="80" w:type="dxa"/>
              <w:start w:w="110" w:type="dxa"/>
              <w:bottom w:w="80" w:type="dxa"/>
              <w:end w:w="110" w:type="dxa"/>
            </w:tcMar>
            <w:vAlign w:val="center"/>
            <w:shd w:fill="F8FAFC"/>
          </w:tcPr>
          <w:p>
            <w:pPr>
              <w:widowControl/>
              <w:spacing w:after="0"/>
            </w:pPr>
            <w:r>
              <w:rPr>
                <w:rFonts w:ascii="Calibri" w:hAnsi="Calibri"/>
                <w:b w:val="0"/>
                <w:color w:val="1F2937"/>
                <w:sz w:val="15"/>
              </w:rPr>
              <w:t>Without undue delay and no later than the missed report deadline.</w:t>
            </w:r>
          </w:p>
        </w:tc>
        <w:tc>
          <w:tcPr>
            <w:tcW w:type="dxa" w:w="4334"/>
            <w:tcMar>
              <w:top w:w="80" w:type="dxa"/>
              <w:start w:w="110" w:type="dxa"/>
              <w:bottom w:w="80" w:type="dxa"/>
              <w:end w:w="110" w:type="dxa"/>
            </w:tcMar>
            <w:vAlign w:val="center"/>
            <w:shd w:fill="F8FAFC"/>
          </w:tcPr>
          <w:p>
            <w:pPr>
              <w:widowControl/>
              <w:spacing w:after="0"/>
            </w:pPr>
            <w:r>
              <w:rPr>
                <w:rFonts w:ascii="Calibri" w:hAnsi="Calibri"/>
                <w:b w:val="0"/>
                <w:color w:val="1F2937"/>
                <w:sz w:val="15"/>
              </w:rPr>
              <w:t>Explain inability and reason to the competent authority.</w:t>
            </w:r>
          </w:p>
        </w:tc>
      </w:tr>
    </w:tbl>
    <w:p>
      <w:pPr>
        <w:widowControl/>
        <w:spacing w:after="0"/>
      </w:pPr>
    </w:p>
    <w:p>
      <w:pPr>
        <w:pStyle w:val="DraftingNote"/>
        <w:widowControl/>
      </w:pPr>
      <w:r>
        <w:rPr>
          <w:rFonts w:ascii="Calibri" w:hAnsi="Calibri"/>
          <w:b/>
          <w:color w:val="1F4D78"/>
          <w:sz w:val="17"/>
        </w:rPr>
        <w:t xml:space="preserve">DRAFTING NOTE  </w:t>
      </w:r>
      <w:r>
        <w:t>Weekend/bank-holiday relief may apply by noon of the next working day, subject to RTS 2025/301 Article 5(4)–(6) and any competent-authority decision. Do not rely on it without compliance confirmation.</w:t>
      </w:r>
    </w:p>
    <w:p>
      <w:pPr>
        <w:pStyle w:val="Heading1"/>
        <w:widowControl/>
      </w:pPr>
      <w:r>
        <w:t>8. Central Bank reporting runbook</w:t>
      </w:r>
    </w:p>
    <w:p>
      <w:pPr>
        <w:spacing w:after="100"/>
      </w:pPr>
      <w:r>
        <w:t>The current Central Bank templates and portal instructions control the actual submission. Annex B is the internal preparation and evidence pack and must be reconciled to the current authority template before each submission.</w:t>
      </w:r>
    </w:p>
    <w:p>
      <w:pPr>
        <w:pStyle w:val="ListNumber"/>
        <w:widowControl/>
      </w:pPr>
      <w:r>
        <w:t>Maintain named portal users, alternates, authentication and current templates; test access before launch.</w:t>
      </w:r>
    </w:p>
    <w:p>
      <w:pPr>
        <w:pStyle w:val="ListNumber"/>
        <w:widowControl/>
      </w:pPr>
      <w:r>
        <w:t>Use the current 2025/302 form and secure electronic channel identified by the Central Bank.</w:t>
      </w:r>
    </w:p>
    <w:p>
      <w:pPr>
        <w:pStyle w:val="ListNumber"/>
        <w:widowControl/>
      </w:pPr>
      <w:r>
        <w:t>Compliance validates classification, deadline, form completeness and submission authority.</w:t>
      </w:r>
    </w:p>
    <w:p>
      <w:pPr>
        <w:pStyle w:val="ListNumber"/>
        <w:widowControl/>
      </w:pPr>
      <w:r>
        <w:t>Save submitted form, receipt/reference number, timestamp and communications in the incident file and D07.</w:t>
      </w:r>
    </w:p>
    <w:p>
      <w:pPr>
        <w:pStyle w:val="ListNumber"/>
        <w:widowControl/>
      </w:pPr>
      <w:r>
        <w:t>Where reports are submitted jointly or corrected/reclassified, document the legal basis and decision.</w:t>
      </w:r>
    </w:p>
    <w:p>
      <w:pPr>
        <w:pStyle w:val="ListNumber"/>
        <w:widowControl/>
      </w:pPr>
      <w:r>
        <w:t>If reporting is outsourced, notify the authority where required and retain internal approval, monitoring and contingency submission capability.</w:t>
      </w:r>
    </w:p>
    <w:p>
      <w:pPr>
        <w:pStyle w:val="Heading1"/>
        <w:widowControl/>
      </w:pPr>
      <w:r>
        <w:t>9. Client, counterpart, privacy and other notifications</w:t>
      </w:r>
    </w:p>
    <w:p>
      <w:pPr>
        <w:widowControl/>
      </w:pPr>
      <w:r>
        <w:t>Where a major ICT-related incident affects clients’ financial interests, inform affected clients without undue delay of the incident and measures taken to mitigate adverse effects. Separately assess GDPR personal-data breach, contractual, market-disclosure, criminal-law, insurance and sector-specific duties. Coordinate messages but do not delay a DORA report while waiting for another process.</w:t>
      </w:r>
    </w:p>
    <w:p>
      <w:pPr>
        <w:pStyle w:val="Heading1"/>
        <w:widowControl/>
      </w:pPr>
      <w:r>
        <w:t>10. Evidence, communications and decision log</w:t>
      </w:r>
    </w:p>
    <w:p>
      <w:pPr>
        <w:widowControl/>
      </w:pPr>
      <w:r>
        <w:t>Use a single incident chronology with reliable timestamps and decision owners.</w:t>
      </w:r>
    </w:p>
    <w:p>
      <w:pPr>
        <w:widowControl/>
      </w:pPr>
      <w:r>
        <w:t>Preserve logs, images, provider reports, communications and affected evidence using controlled access and integrity safeguards.</w:t>
      </w:r>
    </w:p>
    <w:p>
      <w:pPr>
        <w:widowControl/>
      </w:pPr>
      <w:r>
        <w:t>Record assumptions and uncertainty; update earlier classifications when facts change.</w:t>
      </w:r>
    </w:p>
    <w:p>
      <w:pPr>
        <w:widowControl/>
      </w:pPr>
      <w:r>
        <w:t>Use approved secure out-of-band communications if primary systems may be compromised.</w:t>
      </w:r>
    </w:p>
    <w:p>
      <w:pPr>
        <w:widowControl/>
      </w:pPr>
      <w:r>
        <w:t>Restrict disclosure to need-to-know while enabling required reporting and cooperation.</w:t>
      </w:r>
    </w:p>
    <w:p>
      <w:pPr>
        <w:pStyle w:val="Heading1"/>
        <w:widowControl/>
      </w:pPr>
      <w:r>
        <w:t>11. Post-incident review and closure</w:t>
      </w:r>
    </w:p>
    <w:tbl>
      <w:tblPr>
        <w:tblStyle w:val="TableGrid"/>
        <w:tblW w:type="auto" w:w="0"/>
        <w:jc w:val="center"/>
        <w:tblLayout w:type="fixed"/>
        <w:tblLook w:firstColumn="1" w:firstRow="1" w:lastColumn="0" w:lastRow="0" w:noHBand="0" w:noVBand="1" w:val="04A0"/>
      </w:tblPr>
      <w:tblGrid>
        <w:gridCol w:w="2376"/>
        <w:gridCol w:w="7502"/>
      </w:tblGrid>
      <w:tr>
        <w:trPr>
          <w:tblHeader w:val="true"/>
          <w:tblHeader w:val="true"/>
        </w:trPr>
        <w:tc>
          <w:tcPr>
            <w:tcW w:type="dxa" w:w="2376"/>
            <w:shd w:fill="17365D"/>
            <w:tcMar>
              <w:top w:w="80" w:type="dxa"/>
              <w:start w:w="110" w:type="dxa"/>
              <w:bottom w:w="80" w:type="dxa"/>
              <w:end w:w="110" w:type="dxa"/>
            </w:tcMar>
            <w:vAlign w:val="center"/>
          </w:tcPr>
          <w:p>
            <w:pPr>
              <w:widowControl/>
            </w:pPr>
            <w:r>
              <w:rPr>
                <w:rFonts w:ascii="Calibri" w:hAnsi="Calibri"/>
                <w:b/>
                <w:color w:val="FFFFFF"/>
                <w:sz w:val="16"/>
              </w:rPr>
              <w:t>Required conclusion</w:t>
            </w:r>
          </w:p>
        </w:tc>
        <w:tc>
          <w:tcPr>
            <w:tcW w:type="dxa" w:w="7502"/>
            <w:shd w:fill="17365D"/>
            <w:tcMar>
              <w:top w:w="80" w:type="dxa"/>
              <w:start w:w="110" w:type="dxa"/>
              <w:bottom w:w="80" w:type="dxa"/>
              <w:end w:w="110" w:type="dxa"/>
            </w:tcMar>
            <w:vAlign w:val="center"/>
          </w:tcPr>
          <w:p>
            <w:pPr>
              <w:widowControl/>
            </w:pPr>
            <w:r>
              <w:rPr>
                <w:rFonts w:ascii="Calibri" w:hAnsi="Calibri"/>
                <w:b/>
                <w:color w:val="FFFFFF"/>
                <w:sz w:val="16"/>
              </w:rPr>
              <w:t>Record</w:t>
            </w:r>
          </w:p>
        </w:tc>
      </w:tr>
      <w:tr>
        <w:trPr>
          <w:cantSplit/>
        </w:trPr>
        <w:tc>
          <w:tcPr>
            <w:tcW w:type="dxa" w:w="2376"/>
            <w:tcMar>
              <w:top w:w="80" w:type="dxa"/>
              <w:start w:w="110" w:type="dxa"/>
              <w:bottom w:w="80" w:type="dxa"/>
              <w:end w:w="110" w:type="dxa"/>
            </w:tcMar>
            <w:vAlign w:val="center"/>
          </w:tcPr>
          <w:p>
            <w:pPr>
              <w:widowControl/>
              <w:spacing w:after="0"/>
            </w:pPr>
            <w:r>
              <w:rPr>
                <w:rFonts w:ascii="Calibri" w:hAnsi="Calibri"/>
                <w:b/>
                <w:color w:val="1F4D78"/>
                <w:sz w:val="16"/>
              </w:rPr>
              <w:t>Root cause and contributing causes</w:t>
            </w:r>
          </w:p>
        </w:tc>
        <w:tc>
          <w:tcPr>
            <w:tcW w:type="dxa" w:w="7502"/>
            <w:tcMar>
              <w:top w:w="80" w:type="dxa"/>
              <w:start w:w="110" w:type="dxa"/>
              <w:bottom w:w="80" w:type="dxa"/>
              <w:end w:w="110" w:type="dxa"/>
            </w:tcMar>
            <w:vAlign w:val="center"/>
          </w:tcPr>
          <w:p>
            <w:pPr>
              <w:widowControl/>
              <w:spacing w:after="0"/>
            </w:pPr>
            <w:r>
              <w:rPr>
                <w:rFonts w:ascii="Calibri" w:hAnsi="Calibri"/>
                <w:b w:val="0"/>
                <w:color w:val="1F2937"/>
                <w:sz w:val="16"/>
              </w:rPr>
              <w:t>Technical and organisational analysis; unresolved hypotheses identified</w:t>
            </w:r>
          </w:p>
        </w:tc>
      </w:tr>
      <w:tr>
        <w:trPr>
          <w:cantSplit/>
        </w:trPr>
        <w:tc>
          <w:tcPr>
            <w:tcW w:type="dxa" w:w="2376"/>
            <w:tcMar>
              <w:top w:w="80" w:type="dxa"/>
              <w:start w:w="110" w:type="dxa"/>
              <w:bottom w:w="80" w:type="dxa"/>
              <w:end w:w="110" w:type="dxa"/>
            </w:tcMar>
            <w:vAlign w:val="center"/>
            <w:shd w:fill="F8FAFC"/>
          </w:tcPr>
          <w:p>
            <w:pPr>
              <w:widowControl/>
              <w:spacing w:after="0"/>
            </w:pPr>
            <w:r>
              <w:rPr>
                <w:rFonts w:ascii="Calibri" w:hAnsi="Calibri"/>
                <w:b/>
                <w:color w:val="1F4D78"/>
                <w:sz w:val="16"/>
              </w:rPr>
              <w:t>Impact</w:t>
            </w:r>
          </w:p>
        </w:tc>
        <w:tc>
          <w:tcPr>
            <w:tcW w:type="dxa" w:w="7502"/>
            <w:tcMar>
              <w:top w:w="80" w:type="dxa"/>
              <w:start w:w="110" w:type="dxa"/>
              <w:bottom w:w="80" w:type="dxa"/>
              <w:end w:w="110" w:type="dxa"/>
            </w:tcMar>
            <w:vAlign w:val="center"/>
            <w:shd w:fill="F8FAFC"/>
          </w:tcPr>
          <w:p>
            <w:pPr>
              <w:widowControl/>
              <w:spacing w:after="0"/>
            </w:pPr>
            <w:r>
              <w:rPr>
                <w:rFonts w:ascii="Calibri" w:hAnsi="Calibri"/>
                <w:b w:val="0"/>
                <w:color w:val="1F2937"/>
                <w:sz w:val="16"/>
              </w:rPr>
              <w:t>Functions, clients, data, duration, geography, transactions and cost</w:t>
            </w:r>
          </w:p>
        </w:tc>
      </w:tr>
      <w:tr>
        <w:trPr>
          <w:cantSplit/>
        </w:trPr>
        <w:tc>
          <w:tcPr>
            <w:tcW w:type="dxa" w:w="2376"/>
            <w:tcMar>
              <w:top w:w="80" w:type="dxa"/>
              <w:start w:w="110" w:type="dxa"/>
              <w:bottom w:w="80" w:type="dxa"/>
              <w:end w:w="110" w:type="dxa"/>
            </w:tcMar>
            <w:vAlign w:val="center"/>
          </w:tcPr>
          <w:p>
            <w:pPr>
              <w:widowControl/>
              <w:spacing w:after="0"/>
            </w:pPr>
            <w:r>
              <w:rPr>
                <w:rFonts w:ascii="Calibri" w:hAnsi="Calibri"/>
                <w:b/>
                <w:color w:val="1F4D78"/>
                <w:sz w:val="16"/>
              </w:rPr>
              <w:t>Response performance</w:t>
            </w:r>
          </w:p>
        </w:tc>
        <w:tc>
          <w:tcPr>
            <w:tcW w:type="dxa" w:w="7502"/>
            <w:tcMar>
              <w:top w:w="80" w:type="dxa"/>
              <w:start w:w="110" w:type="dxa"/>
              <w:bottom w:w="80" w:type="dxa"/>
              <w:end w:w="110" w:type="dxa"/>
            </w:tcMar>
            <w:vAlign w:val="center"/>
          </w:tcPr>
          <w:p>
            <w:pPr>
              <w:widowControl/>
              <w:spacing w:after="0"/>
            </w:pPr>
            <w:r>
              <w:rPr>
                <w:rFonts w:ascii="Calibri" w:hAnsi="Calibri"/>
                <w:b w:val="0"/>
                <w:color w:val="1F2937"/>
                <w:sz w:val="16"/>
              </w:rPr>
              <w:t>Detection, escalation, reporting, containment, recovery and communication</w:t>
            </w:r>
          </w:p>
        </w:tc>
      </w:tr>
      <w:tr>
        <w:trPr>
          <w:cantSplit/>
        </w:trPr>
        <w:tc>
          <w:tcPr>
            <w:tcW w:type="dxa" w:w="2376"/>
            <w:tcMar>
              <w:top w:w="80" w:type="dxa"/>
              <w:start w:w="110" w:type="dxa"/>
              <w:bottom w:w="80" w:type="dxa"/>
              <w:end w:w="110" w:type="dxa"/>
            </w:tcMar>
            <w:vAlign w:val="center"/>
            <w:shd w:fill="F8FAFC"/>
          </w:tcPr>
          <w:p>
            <w:pPr>
              <w:widowControl/>
              <w:spacing w:after="0"/>
            </w:pPr>
            <w:r>
              <w:rPr>
                <w:rFonts w:ascii="Calibri" w:hAnsi="Calibri"/>
                <w:b/>
                <w:color w:val="1F4D78"/>
                <w:sz w:val="16"/>
              </w:rPr>
              <w:t>Control and provider failures</w:t>
            </w:r>
          </w:p>
        </w:tc>
        <w:tc>
          <w:tcPr>
            <w:tcW w:type="dxa" w:w="7502"/>
            <w:tcMar>
              <w:top w:w="80" w:type="dxa"/>
              <w:start w:w="110" w:type="dxa"/>
              <w:bottom w:w="80" w:type="dxa"/>
              <w:end w:w="110" w:type="dxa"/>
            </w:tcMar>
            <w:vAlign w:val="center"/>
            <w:shd w:fill="F8FAFC"/>
          </w:tcPr>
          <w:p>
            <w:pPr>
              <w:widowControl/>
              <w:spacing w:after="0"/>
            </w:pPr>
            <w:r>
              <w:rPr>
                <w:rFonts w:ascii="Calibri" w:hAnsi="Calibri"/>
                <w:b w:val="0"/>
                <w:color w:val="1F2937"/>
                <w:sz w:val="16"/>
              </w:rPr>
              <w:t>Specific failed/missing controls and contractual/provider issues</w:t>
            </w:r>
          </w:p>
        </w:tc>
      </w:tr>
      <w:tr>
        <w:trPr>
          <w:cantSplit/>
        </w:trPr>
        <w:tc>
          <w:tcPr>
            <w:tcW w:type="dxa" w:w="2376"/>
            <w:tcMar>
              <w:top w:w="80" w:type="dxa"/>
              <w:start w:w="110" w:type="dxa"/>
              <w:bottom w:w="80" w:type="dxa"/>
              <w:end w:w="110" w:type="dxa"/>
            </w:tcMar>
            <w:vAlign w:val="center"/>
          </w:tcPr>
          <w:p>
            <w:pPr>
              <w:widowControl/>
              <w:spacing w:after="0"/>
            </w:pPr>
            <w:r>
              <w:rPr>
                <w:rFonts w:ascii="Calibri" w:hAnsi="Calibri"/>
                <w:b/>
                <w:color w:val="1F4D78"/>
                <w:sz w:val="16"/>
              </w:rPr>
              <w:t>Lessons and actions</w:t>
            </w:r>
          </w:p>
        </w:tc>
        <w:tc>
          <w:tcPr>
            <w:tcW w:type="dxa" w:w="7502"/>
            <w:tcMar>
              <w:top w:w="80" w:type="dxa"/>
              <w:start w:w="110" w:type="dxa"/>
              <w:bottom w:w="80" w:type="dxa"/>
              <w:end w:w="110" w:type="dxa"/>
            </w:tcMar>
            <w:vAlign w:val="center"/>
          </w:tcPr>
          <w:p>
            <w:pPr>
              <w:widowControl/>
              <w:spacing w:after="0"/>
            </w:pPr>
            <w:r>
              <w:rPr>
                <w:rFonts w:ascii="Calibri" w:hAnsi="Calibri"/>
                <w:b w:val="0"/>
                <w:color w:val="1F2937"/>
                <w:sz w:val="16"/>
              </w:rPr>
              <w:t>Owner, due date, interim control, risk, retest/verification</w:t>
            </w:r>
          </w:p>
        </w:tc>
      </w:tr>
      <w:tr>
        <w:trPr>
          <w:cantSplit/>
        </w:trPr>
        <w:tc>
          <w:tcPr>
            <w:tcW w:type="dxa" w:w="2376"/>
            <w:tcMar>
              <w:top w:w="80" w:type="dxa"/>
              <w:start w:w="110" w:type="dxa"/>
              <w:bottom w:w="80" w:type="dxa"/>
              <w:end w:w="110" w:type="dxa"/>
            </w:tcMar>
            <w:vAlign w:val="center"/>
            <w:shd w:fill="F8FAFC"/>
          </w:tcPr>
          <w:p>
            <w:pPr>
              <w:widowControl/>
              <w:spacing w:after="0"/>
            </w:pPr>
            <w:r>
              <w:rPr>
                <w:rFonts w:ascii="Calibri" w:hAnsi="Calibri"/>
                <w:b/>
                <w:color w:val="1F4D78"/>
                <w:sz w:val="16"/>
              </w:rPr>
              <w:t>Framework impact</w:t>
            </w:r>
          </w:p>
        </w:tc>
        <w:tc>
          <w:tcPr>
            <w:tcW w:type="dxa" w:w="7502"/>
            <w:tcMar>
              <w:top w:w="80" w:type="dxa"/>
              <w:start w:w="110" w:type="dxa"/>
              <w:bottom w:w="80" w:type="dxa"/>
              <w:end w:w="110" w:type="dxa"/>
            </w:tcMar>
            <w:vAlign w:val="center"/>
            <w:shd w:fill="F8FAFC"/>
          </w:tcPr>
          <w:p>
            <w:pPr>
              <w:widowControl/>
              <w:spacing w:after="0"/>
            </w:pPr>
            <w:r>
              <w:rPr>
                <w:rFonts w:ascii="Calibri" w:hAnsi="Calibri"/>
                <w:b w:val="0"/>
                <w:color w:val="1F2937"/>
                <w:sz w:val="16"/>
              </w:rPr>
              <w:t>Updates to D01–D14, training, budget and risk assessment</w:t>
            </w:r>
          </w:p>
        </w:tc>
      </w:tr>
      <w:tr>
        <w:trPr>
          <w:cantSplit/>
        </w:trPr>
        <w:tc>
          <w:tcPr>
            <w:tcW w:type="dxa" w:w="2376"/>
            <w:tcMar>
              <w:top w:w="80" w:type="dxa"/>
              <w:start w:w="110" w:type="dxa"/>
              <w:bottom w:w="80" w:type="dxa"/>
              <w:end w:w="110" w:type="dxa"/>
            </w:tcMar>
            <w:vAlign w:val="center"/>
          </w:tcPr>
          <w:p>
            <w:pPr>
              <w:widowControl/>
              <w:spacing w:after="0"/>
            </w:pPr>
            <w:r>
              <w:rPr>
                <w:rFonts w:ascii="Calibri" w:hAnsi="Calibri"/>
                <w:b/>
                <w:color w:val="1F4D78"/>
                <w:sz w:val="16"/>
              </w:rPr>
              <w:t>Closure</w:t>
            </w:r>
          </w:p>
        </w:tc>
        <w:tc>
          <w:tcPr>
            <w:tcW w:type="dxa" w:w="7502"/>
            <w:tcMar>
              <w:top w:w="80" w:type="dxa"/>
              <w:start w:w="110" w:type="dxa"/>
              <w:bottom w:w="80" w:type="dxa"/>
              <w:end w:w="110" w:type="dxa"/>
            </w:tcMar>
            <w:vAlign w:val="center"/>
          </w:tcPr>
          <w:p>
            <w:pPr>
              <w:widowControl/>
              <w:spacing w:after="0"/>
            </w:pPr>
            <w:r>
              <w:rPr>
                <w:rFonts w:ascii="Calibri" w:hAnsi="Calibri"/>
                <w:b w:val="0"/>
                <w:color w:val="1F2937"/>
                <w:sz w:val="16"/>
              </w:rPr>
              <w:t>Business, technical and compliance approval</w:t>
            </w:r>
          </w:p>
        </w:tc>
      </w:tr>
    </w:tbl>
    <w:p>
      <w:pPr>
        <w:widowControl/>
        <w:spacing w:after="0"/>
      </w:pPr>
    </w:p>
    <w:p>
      <w:pPr>
        <w:pStyle w:val="Heading1"/>
        <w:widowControl/>
      </w:pPr>
      <w:r>
        <w:t>12. Forms, tools and annexes</w:t>
      </w:r>
    </w:p>
    <w:p>
      <w:pPr>
        <w:spacing w:after="100"/>
      </w:pPr>
      <w:r>
        <w:t>The short forms below support routine intake. Annexes A–E are integral working tools: A and B are mandatory; C is conditional; D is context only; and E is optional.</w:t>
      </w:r>
    </w:p>
    <w:p>
      <w:pPr>
        <w:pStyle w:val="Heading2"/>
        <w:widowControl/>
      </w:pPr>
      <w:r>
        <w:t>Initial triage form</w:t>
      </w:r>
    </w:p>
    <w:p>
      <w:pPr>
        <w:widowControl/>
      </w:pPr>
      <w:r>
        <w:t>Awareness time; reporter; symptoms; assets/functions/providers; initial impact; actions; evidence; owner; severity.</w:t>
      </w:r>
    </w:p>
    <w:tbl>
      <w:tblPr>
        <w:tblStyle w:val="TableGrid"/>
        <w:tblW w:type="auto" w:w="0"/>
        <w:jc w:val="center"/>
        <w:tblLayout w:type="fixed"/>
        <w:tblLook w:firstColumn="1" w:firstRow="1" w:lastColumn="0" w:lastRow="0" w:noHBand="0" w:noVBand="1" w:val="04A0"/>
      </w:tblPr>
      <w:tblGrid>
        <w:gridCol w:w="3168"/>
        <w:gridCol w:w="6710"/>
      </w:tblGrid>
      <w:tr>
        <w:trPr>
          <w:tblHeader w:val="true"/>
          <w:tblHeader w:val="true"/>
        </w:trPr>
        <w:tc>
          <w:tcPr>
            <w:tcW w:type="dxa" w:w="3168"/>
            <w:shd w:fill="17365D"/>
            <w:tcMar>
              <w:top w:w="80" w:type="dxa"/>
              <w:start w:w="110" w:type="dxa"/>
              <w:bottom w:w="80" w:type="dxa"/>
              <w:end w:w="110" w:type="dxa"/>
            </w:tcMar>
            <w:vAlign w:val="center"/>
          </w:tcPr>
          <w:p>
            <w:pPr>
              <w:widowControl/>
            </w:pPr>
            <w:r>
              <w:rPr>
                <w:rFonts w:ascii="Calibri" w:hAnsi="Calibri"/>
                <w:b/>
                <w:color w:val="FFFFFF"/>
                <w:sz w:val="16"/>
              </w:rPr>
              <w:t>Field</w:t>
            </w:r>
          </w:p>
        </w:tc>
        <w:tc>
          <w:tcPr>
            <w:tcW w:type="dxa" w:w="6710"/>
            <w:shd w:fill="17365D"/>
            <w:tcMar>
              <w:top w:w="80" w:type="dxa"/>
              <w:start w:w="110" w:type="dxa"/>
              <w:bottom w:w="80" w:type="dxa"/>
              <w:end w:w="110" w:type="dxa"/>
            </w:tcMar>
            <w:vAlign w:val="center"/>
          </w:tcPr>
          <w:p>
            <w:pPr>
              <w:widowControl/>
            </w:pPr>
            <w:r>
              <w:rPr>
                <w:rFonts w:ascii="Calibri" w:hAnsi="Calibri"/>
                <w:b/>
                <w:color w:val="FFFFFF"/>
                <w:sz w:val="16"/>
              </w:rPr>
              <w:t>Entry</w:t>
            </w:r>
          </w:p>
        </w:tc>
      </w:tr>
      <w:tr>
        <w:trPr>
          <w:cantSplit/>
        </w:trPr>
        <w:tc>
          <w:tcPr>
            <w:tcW w:type="dxa" w:w="3168"/>
            <w:tcMar>
              <w:top w:w="80" w:type="dxa"/>
              <w:start w:w="110" w:type="dxa"/>
              <w:bottom w:w="80" w:type="dxa"/>
              <w:end w:w="110" w:type="dxa"/>
            </w:tcMar>
            <w:vAlign w:val="center"/>
          </w:tcPr>
          <w:p>
            <w:pPr>
              <w:widowControl/>
              <w:spacing w:after="0"/>
            </w:pPr>
            <w:r>
              <w:rPr>
                <w:rFonts w:ascii="Calibri" w:hAnsi="Calibri"/>
                <w:b w:val="0"/>
                <w:color w:val="1F2937"/>
                <w:sz w:val="16"/>
              </w:rPr>
              <w:t>[FIELD]</w:t>
            </w:r>
          </w:p>
        </w:tc>
        <w:tc>
          <w:tcPr>
            <w:tcW w:type="dxa" w:w="6710"/>
            <w:tcMar>
              <w:top w:w="80" w:type="dxa"/>
              <w:start w:w="110" w:type="dxa"/>
              <w:bottom w:w="80" w:type="dxa"/>
              <w:end w:w="110" w:type="dxa"/>
            </w:tcMar>
            <w:vAlign w:val="center"/>
          </w:tcPr>
          <w:p>
            <w:pPr>
              <w:widowControl/>
              <w:spacing w:after="0"/>
            </w:pPr>
            <w:r>
              <w:rPr>
                <w:rFonts w:ascii="Calibri" w:hAnsi="Calibri"/>
                <w:b w:val="0"/>
                <w:color w:val="1F2937"/>
                <w:sz w:val="16"/>
              </w:rPr>
              <w:t>[COMPLETE / ATTACH REFERENCE]</w:t>
            </w:r>
          </w:p>
        </w:tc>
      </w:tr>
    </w:tbl>
    <w:p>
      <w:pPr>
        <w:widowControl/>
        <w:spacing w:after="0"/>
      </w:pPr>
    </w:p>
    <w:p>
      <w:pPr>
        <w:pStyle w:val="Heading2"/>
        <w:widowControl/>
      </w:pPr>
      <w:r>
        <w:t>Classification record</w:t>
      </w:r>
    </w:p>
    <w:p>
      <w:pPr>
        <w:widowControl/>
      </w:pPr>
      <w:r>
        <w:t>Critical service; each threshold; calculations/estimates; sources; decision; approver; reassessment times.</w:t>
      </w:r>
    </w:p>
    <w:tbl>
      <w:tblPr>
        <w:tblStyle w:val="TableGrid"/>
        <w:tblW w:type="auto" w:w="0"/>
        <w:jc w:val="center"/>
        <w:tblLayout w:type="fixed"/>
        <w:tblLook w:firstColumn="1" w:firstRow="1" w:lastColumn="0" w:lastRow="0" w:noHBand="0" w:noVBand="1" w:val="04A0"/>
      </w:tblPr>
      <w:tblGrid>
        <w:gridCol w:w="3168"/>
        <w:gridCol w:w="6710"/>
      </w:tblGrid>
      <w:tr>
        <w:trPr>
          <w:tblHeader w:val="true"/>
          <w:tblHeader w:val="true"/>
        </w:trPr>
        <w:tc>
          <w:tcPr>
            <w:tcW w:type="dxa" w:w="3168"/>
            <w:shd w:fill="17365D"/>
            <w:tcMar>
              <w:top w:w="80" w:type="dxa"/>
              <w:start w:w="110" w:type="dxa"/>
              <w:bottom w:w="80" w:type="dxa"/>
              <w:end w:w="110" w:type="dxa"/>
            </w:tcMar>
            <w:vAlign w:val="center"/>
          </w:tcPr>
          <w:p>
            <w:pPr>
              <w:widowControl/>
            </w:pPr>
            <w:r>
              <w:rPr>
                <w:rFonts w:ascii="Calibri" w:hAnsi="Calibri"/>
                <w:b/>
                <w:color w:val="FFFFFF"/>
                <w:sz w:val="16"/>
              </w:rPr>
              <w:t>Field</w:t>
            </w:r>
          </w:p>
        </w:tc>
        <w:tc>
          <w:tcPr>
            <w:tcW w:type="dxa" w:w="6710"/>
            <w:shd w:fill="17365D"/>
            <w:tcMar>
              <w:top w:w="80" w:type="dxa"/>
              <w:start w:w="110" w:type="dxa"/>
              <w:bottom w:w="80" w:type="dxa"/>
              <w:end w:w="110" w:type="dxa"/>
            </w:tcMar>
            <w:vAlign w:val="center"/>
          </w:tcPr>
          <w:p>
            <w:pPr>
              <w:widowControl/>
            </w:pPr>
            <w:r>
              <w:rPr>
                <w:rFonts w:ascii="Calibri" w:hAnsi="Calibri"/>
                <w:b/>
                <w:color w:val="FFFFFF"/>
                <w:sz w:val="16"/>
              </w:rPr>
              <w:t>Entry</w:t>
            </w:r>
          </w:p>
        </w:tc>
      </w:tr>
      <w:tr>
        <w:trPr>
          <w:cantSplit/>
        </w:trPr>
        <w:tc>
          <w:tcPr>
            <w:tcW w:type="dxa" w:w="3168"/>
            <w:tcMar>
              <w:top w:w="80" w:type="dxa"/>
              <w:start w:w="110" w:type="dxa"/>
              <w:bottom w:w="80" w:type="dxa"/>
              <w:end w:w="110" w:type="dxa"/>
            </w:tcMar>
            <w:vAlign w:val="center"/>
          </w:tcPr>
          <w:p>
            <w:pPr>
              <w:widowControl/>
              <w:spacing w:after="0"/>
            </w:pPr>
            <w:r>
              <w:rPr>
                <w:rFonts w:ascii="Calibri" w:hAnsi="Calibri"/>
                <w:b w:val="0"/>
                <w:color w:val="1F2937"/>
                <w:sz w:val="16"/>
              </w:rPr>
              <w:t>[FIELD]</w:t>
            </w:r>
          </w:p>
        </w:tc>
        <w:tc>
          <w:tcPr>
            <w:tcW w:type="dxa" w:w="6710"/>
            <w:tcMar>
              <w:top w:w="80" w:type="dxa"/>
              <w:start w:w="110" w:type="dxa"/>
              <w:bottom w:w="80" w:type="dxa"/>
              <w:end w:w="110" w:type="dxa"/>
            </w:tcMar>
            <w:vAlign w:val="center"/>
          </w:tcPr>
          <w:p>
            <w:pPr>
              <w:widowControl/>
              <w:spacing w:after="0"/>
            </w:pPr>
            <w:r>
              <w:rPr>
                <w:rFonts w:ascii="Calibri" w:hAnsi="Calibri"/>
                <w:b w:val="0"/>
                <w:color w:val="1F2937"/>
                <w:sz w:val="16"/>
              </w:rPr>
              <w:t>[COMPLETE / ATTACH REFERENCE]</w:t>
            </w:r>
          </w:p>
        </w:tc>
      </w:tr>
    </w:tbl>
    <w:p>
      <w:pPr>
        <w:widowControl/>
        <w:spacing w:after="0"/>
      </w:pPr>
    </w:p>
    <w:p>
      <w:pPr>
        <w:pStyle w:val="Heading2"/>
        <w:widowControl/>
      </w:pPr>
      <w:r>
        <w:t>Regulatory reporting log</w:t>
      </w:r>
    </w:p>
    <w:p>
      <w:pPr>
        <w:widowControl/>
      </w:pPr>
      <w:r>
        <w:t>Form; deadline; preparer; reviewer; submitter; time; portal reference; update due; client notification decision.</w:t>
      </w:r>
    </w:p>
    <w:tbl>
      <w:tblPr>
        <w:tblStyle w:val="TableGrid"/>
        <w:tblW w:type="auto" w:w="0"/>
        <w:jc w:val="center"/>
        <w:tblLayout w:type="fixed"/>
        <w:tblLook w:firstColumn="1" w:firstRow="1" w:lastColumn="0" w:lastRow="0" w:noHBand="0" w:noVBand="1" w:val="04A0"/>
      </w:tblPr>
      <w:tblGrid>
        <w:gridCol w:w="3168"/>
        <w:gridCol w:w="6710"/>
      </w:tblGrid>
      <w:tr>
        <w:trPr>
          <w:tblHeader w:val="true"/>
          <w:tblHeader w:val="true"/>
        </w:trPr>
        <w:tc>
          <w:tcPr>
            <w:tcW w:type="dxa" w:w="3168"/>
            <w:shd w:fill="17365D"/>
            <w:tcMar>
              <w:top w:w="80" w:type="dxa"/>
              <w:start w:w="110" w:type="dxa"/>
              <w:bottom w:w="80" w:type="dxa"/>
              <w:end w:w="110" w:type="dxa"/>
            </w:tcMar>
            <w:vAlign w:val="center"/>
          </w:tcPr>
          <w:p>
            <w:pPr>
              <w:widowControl/>
            </w:pPr>
            <w:r>
              <w:rPr>
                <w:rFonts w:ascii="Calibri" w:hAnsi="Calibri"/>
                <w:b/>
                <w:color w:val="FFFFFF"/>
                <w:sz w:val="16"/>
              </w:rPr>
              <w:t>Field</w:t>
            </w:r>
          </w:p>
        </w:tc>
        <w:tc>
          <w:tcPr>
            <w:tcW w:type="dxa" w:w="6710"/>
            <w:shd w:fill="17365D"/>
            <w:tcMar>
              <w:top w:w="80" w:type="dxa"/>
              <w:start w:w="110" w:type="dxa"/>
              <w:bottom w:w="80" w:type="dxa"/>
              <w:end w:w="110" w:type="dxa"/>
            </w:tcMar>
            <w:vAlign w:val="center"/>
          </w:tcPr>
          <w:p>
            <w:pPr>
              <w:widowControl/>
            </w:pPr>
            <w:r>
              <w:rPr>
                <w:rFonts w:ascii="Calibri" w:hAnsi="Calibri"/>
                <w:b/>
                <w:color w:val="FFFFFF"/>
                <w:sz w:val="16"/>
              </w:rPr>
              <w:t>Entry</w:t>
            </w:r>
          </w:p>
        </w:tc>
      </w:tr>
      <w:tr>
        <w:trPr>
          <w:cantSplit/>
        </w:trPr>
        <w:tc>
          <w:tcPr>
            <w:tcW w:type="dxa" w:w="3168"/>
            <w:tcMar>
              <w:top w:w="80" w:type="dxa"/>
              <w:start w:w="110" w:type="dxa"/>
              <w:bottom w:w="80" w:type="dxa"/>
              <w:end w:w="110" w:type="dxa"/>
            </w:tcMar>
            <w:vAlign w:val="center"/>
          </w:tcPr>
          <w:p>
            <w:pPr>
              <w:widowControl/>
              <w:spacing w:after="0"/>
            </w:pPr>
            <w:r>
              <w:rPr>
                <w:rFonts w:ascii="Calibri" w:hAnsi="Calibri"/>
                <w:b w:val="0"/>
                <w:color w:val="1F2937"/>
                <w:sz w:val="16"/>
              </w:rPr>
              <w:t>[FIELD]</w:t>
            </w:r>
          </w:p>
        </w:tc>
        <w:tc>
          <w:tcPr>
            <w:tcW w:type="dxa" w:w="6710"/>
            <w:tcMar>
              <w:top w:w="80" w:type="dxa"/>
              <w:start w:w="110" w:type="dxa"/>
              <w:bottom w:w="80" w:type="dxa"/>
              <w:end w:w="110" w:type="dxa"/>
            </w:tcMar>
            <w:vAlign w:val="center"/>
          </w:tcPr>
          <w:p>
            <w:pPr>
              <w:widowControl/>
              <w:spacing w:after="0"/>
            </w:pPr>
            <w:r>
              <w:rPr>
                <w:rFonts w:ascii="Calibri" w:hAnsi="Calibri"/>
                <w:b w:val="0"/>
                <w:color w:val="1F2937"/>
                <w:sz w:val="16"/>
              </w:rPr>
              <w:t>[COMPLETE / ATTACH REFERENCE]</w:t>
            </w:r>
          </w:p>
        </w:tc>
      </w:tr>
    </w:tbl>
    <w:p>
      <w:pPr>
        <w:widowControl/>
        <w:spacing w:after="0"/>
      </w:pPr>
    </w:p>
    <w:p>
      <w:pPr>
        <w:pStyle w:val="Heading2"/>
        <w:widowControl/>
      </w:pPr>
      <w:r>
        <w:t>Post-incident review</w:t>
      </w:r>
    </w:p>
    <w:p>
      <w:pPr>
        <w:widowControl/>
      </w:pPr>
      <w:r>
        <w:t>Timeline; root cause; impact; response; lessons; actions; risk updates; approvals.</w:t>
      </w:r>
    </w:p>
    <w:tbl>
      <w:tblPr>
        <w:tblStyle w:val="TableGrid"/>
        <w:tblW w:type="auto" w:w="0"/>
        <w:jc w:val="center"/>
        <w:tblLayout w:type="fixed"/>
        <w:tblLook w:firstColumn="1" w:firstRow="1" w:lastColumn="0" w:lastRow="0" w:noHBand="0" w:noVBand="1" w:val="04A0"/>
      </w:tblPr>
      <w:tblGrid>
        <w:gridCol w:w="3168"/>
        <w:gridCol w:w="6710"/>
      </w:tblGrid>
      <w:tr>
        <w:trPr>
          <w:tblHeader w:val="true"/>
          <w:tblHeader w:val="true"/>
        </w:trPr>
        <w:tc>
          <w:tcPr>
            <w:tcW w:type="dxa" w:w="3168"/>
            <w:shd w:fill="17365D"/>
            <w:tcMar>
              <w:top w:w="80" w:type="dxa"/>
              <w:start w:w="110" w:type="dxa"/>
              <w:bottom w:w="80" w:type="dxa"/>
              <w:end w:w="110" w:type="dxa"/>
            </w:tcMar>
            <w:vAlign w:val="center"/>
          </w:tcPr>
          <w:p>
            <w:pPr>
              <w:widowControl/>
            </w:pPr>
            <w:r>
              <w:rPr>
                <w:rFonts w:ascii="Calibri" w:hAnsi="Calibri"/>
                <w:b/>
                <w:color w:val="FFFFFF"/>
                <w:sz w:val="16"/>
              </w:rPr>
              <w:t>Field</w:t>
            </w:r>
          </w:p>
        </w:tc>
        <w:tc>
          <w:tcPr>
            <w:tcW w:type="dxa" w:w="6710"/>
            <w:shd w:fill="17365D"/>
            <w:tcMar>
              <w:top w:w="80" w:type="dxa"/>
              <w:start w:w="110" w:type="dxa"/>
              <w:bottom w:w="80" w:type="dxa"/>
              <w:end w:w="110" w:type="dxa"/>
            </w:tcMar>
            <w:vAlign w:val="center"/>
          </w:tcPr>
          <w:p>
            <w:pPr>
              <w:widowControl/>
            </w:pPr>
            <w:r>
              <w:rPr>
                <w:rFonts w:ascii="Calibri" w:hAnsi="Calibri"/>
                <w:b/>
                <w:color w:val="FFFFFF"/>
                <w:sz w:val="16"/>
              </w:rPr>
              <w:t>Entry</w:t>
            </w:r>
          </w:p>
        </w:tc>
      </w:tr>
      <w:tr>
        <w:trPr>
          <w:cantSplit/>
        </w:trPr>
        <w:tc>
          <w:tcPr>
            <w:tcW w:type="dxa" w:w="3168"/>
            <w:tcMar>
              <w:top w:w="80" w:type="dxa"/>
              <w:start w:w="110" w:type="dxa"/>
              <w:bottom w:w="80" w:type="dxa"/>
              <w:end w:w="110" w:type="dxa"/>
            </w:tcMar>
            <w:vAlign w:val="center"/>
          </w:tcPr>
          <w:p>
            <w:pPr>
              <w:widowControl/>
              <w:spacing w:after="0"/>
            </w:pPr>
            <w:r>
              <w:rPr>
                <w:rFonts w:ascii="Calibri" w:hAnsi="Calibri"/>
                <w:b w:val="0"/>
                <w:color w:val="1F2937"/>
                <w:sz w:val="16"/>
              </w:rPr>
              <w:t>[FIELD]</w:t>
            </w:r>
          </w:p>
        </w:tc>
        <w:tc>
          <w:tcPr>
            <w:tcW w:type="dxa" w:w="6710"/>
            <w:tcMar>
              <w:top w:w="80" w:type="dxa"/>
              <w:start w:w="110" w:type="dxa"/>
              <w:bottom w:w="80" w:type="dxa"/>
              <w:end w:w="110" w:type="dxa"/>
            </w:tcMar>
            <w:vAlign w:val="center"/>
          </w:tcPr>
          <w:p>
            <w:pPr>
              <w:widowControl/>
              <w:spacing w:after="0"/>
            </w:pPr>
            <w:r>
              <w:rPr>
                <w:rFonts w:ascii="Calibri" w:hAnsi="Calibri"/>
                <w:b w:val="0"/>
                <w:color w:val="1F2937"/>
                <w:sz w:val="16"/>
              </w:rPr>
              <w:t>[COMPLETE / ATTACH REFERENCE]</w:t>
            </w:r>
          </w:p>
        </w:tc>
      </w:tr>
    </w:tbl>
    <w:p>
      <w:pPr>
        <w:widowControl/>
        <w:spacing w:after="0"/>
      </w:pPr>
    </w:p>
    <w:p>
      <w:pPr>
        <w:widowControl/>
      </w:pPr>
      <w:r>
        <w:br w:type="page"/>
      </w:r>
    </w:p>
    <w:p>
      <w:pPr>
        <w:pStyle w:val="Heading1"/>
        <w:keepNext/>
      </w:pPr>
      <w:r>
        <w:t>Annex A — ICT Incident Classification and Escalation Tool</w:t>
      </w:r>
    </w:p>
    <w:tbl>
      <w:tblPr>
        <w:tblW w:type="dxa" w:w="9878"/>
        <w:tblLayout w:type="fixed"/>
        <w:tblLook w:firstColumn="1" w:firstRow="1" w:lastColumn="0" w:lastRow="0" w:noHBand="0" w:noVBand="1" w:val="04A0"/>
        <w:tblInd w:w="90" w:type="dxa"/>
      </w:tblPr>
      <w:tblGrid>
        <w:gridCol w:w="1500"/>
        <w:gridCol w:w="8378"/>
      </w:tblGrid>
      <w:tr>
        <w:trPr>
          <w:cantSplit/>
          <w:tblHeader w:val="true"/>
        </w:trPr>
        <w:tc>
          <w:tcPr>
            <w:tcW w:type="dxa" w:w="15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MANDATORY</w:t>
            </w:r>
          </w:p>
        </w:tc>
        <w:tc>
          <w:tcPr>
            <w:tcW w:type="dxa" w:w="8378"/>
            <w:tcMar>
              <w:top w:w="70" w:type="dxa"/>
              <w:start w:w="90" w:type="dxa"/>
              <w:bottom w:w="70" w:type="dxa"/>
              <w:end w:w="90" w:type="dxa"/>
            </w:tcMar>
            <w:vAlign w:val="center"/>
            <w:shd w:fill="D9EAF2"/>
          </w:tcPr>
          <w:p>
            <w:pPr>
              <w:spacing w:before="0" w:after="30" w:line="240" w:lineRule="auto"/>
            </w:pPr>
            <w:r>
              <w:rPr>
                <w:rFonts w:ascii="Arial" w:hAnsi="Arial"/>
                <w:b w:val="0"/>
                <w:color w:val="2D3741"/>
                <w:sz w:val="16"/>
              </w:rPr>
              <w:t>Complete for every potentially material ICT-related incident. Record current facts, estimates, sources, uncertainty, approval and each reassessment. Retain the completed tool with the D07 incident record.</w:t>
            </w:r>
          </w:p>
        </w:tc>
      </w:tr>
    </w:tbl>
    <w:p>
      <w:pPr>
        <w:spacing w:after="40"/>
      </w:pPr>
    </w:p>
    <w:p>
      <w:pPr>
        <w:pStyle w:val="Heading2"/>
        <w:keepNext/>
      </w:pPr>
      <w:r>
        <w:t>A1. Classification control record</w:t>
      </w:r>
    </w:p>
    <w:tbl>
      <w:tblPr>
        <w:tblStyle w:val="TableGrid"/>
        <w:tblW w:type="dxa" w:w="9878"/>
        <w:tblLayout w:type="fixed"/>
        <w:tblLook w:firstColumn="1" w:firstRow="1" w:lastColumn="0" w:lastRow="0" w:noHBand="0" w:noVBand="1" w:val="04A0"/>
        <w:tblInd w:w="90" w:type="dxa"/>
      </w:tblPr>
      <w:tblGrid>
        <w:gridCol w:w="2800"/>
        <w:gridCol w:w="7078"/>
      </w:tblGrid>
      <w:tr>
        <w:trPr>
          <w:tblHeader w:val="true"/>
          <w:cantSplit/>
          <w:tblHeader w:val="true"/>
        </w:trPr>
        <w:tc>
          <w:tcPr>
            <w:tcW w:type="dxa" w:w="28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Field</w:t>
            </w:r>
          </w:p>
        </w:tc>
        <w:tc>
          <w:tcPr>
            <w:tcW w:type="dxa" w:w="7078"/>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Controlled entry</w:t>
            </w:r>
          </w:p>
        </w:tc>
      </w:tr>
      <w:tr>
        <w:trPr>
          <w:cantSplit/>
        </w:trPr>
        <w:tc>
          <w:tcPr>
            <w:tcW w:type="dxa" w:w="2800"/>
            <w:vAlign w:val="center"/>
          </w:tcPr>
          <w:p>
            <w:pPr>
              <w:spacing w:before="0" w:after="30" w:line="240" w:lineRule="auto"/>
            </w:pPr>
            <w:r>
              <w:rPr>
                <w:rFonts w:ascii="Arial" w:hAnsi="Arial"/>
                <w:b w:val="0"/>
                <w:color w:val="2D3741"/>
                <w:sz w:val="16"/>
              </w:rPr>
              <w:t>Incident / D07 ID</w:t>
            </w:r>
          </w:p>
        </w:tc>
        <w:tc>
          <w:tcPr>
            <w:tcW w:type="dxa" w:w="7078"/>
            <w:vAlign w:val="center"/>
            <w:shd w:fill="FFF2CC"/>
          </w:tcPr>
          <w:p>
            <w:pPr>
              <w:spacing w:before="0" w:after="30" w:line="240" w:lineRule="auto"/>
            </w:pPr>
            <w:r>
              <w:rPr>
                <w:rFonts w:ascii="Arial" w:hAnsi="Arial"/>
                <w:b w:val="0"/>
                <w:color w:val="2D3741"/>
                <w:sz w:val="16"/>
              </w:rPr>
              <w:t>[COMPLETE]</w:t>
            </w:r>
          </w:p>
        </w:tc>
      </w:tr>
      <w:tr>
        <w:trPr>
          <w:cantSplit/>
        </w:trPr>
        <w:tc>
          <w:tcPr>
            <w:tcW w:type="dxa" w:w="2800"/>
            <w:vAlign w:val="center"/>
          </w:tcPr>
          <w:p>
            <w:pPr>
              <w:spacing w:before="0" w:after="30" w:line="240" w:lineRule="auto"/>
            </w:pPr>
            <w:r>
              <w:rPr>
                <w:rFonts w:ascii="Arial" w:hAnsi="Arial"/>
                <w:b w:val="0"/>
                <w:color w:val="2D3741"/>
                <w:sz w:val="16"/>
              </w:rPr>
              <w:t>Awareness date and time</w:t>
            </w:r>
          </w:p>
        </w:tc>
        <w:tc>
          <w:tcPr>
            <w:tcW w:type="dxa" w:w="7078"/>
            <w:vAlign w:val="center"/>
            <w:shd w:fill="FFF2CC"/>
          </w:tcPr>
          <w:p>
            <w:pPr>
              <w:spacing w:before="0" w:after="30" w:line="240" w:lineRule="auto"/>
            </w:pPr>
            <w:r>
              <w:rPr>
                <w:rFonts w:ascii="Arial" w:hAnsi="Arial"/>
                <w:b w:val="0"/>
                <w:color w:val="2D3741"/>
                <w:sz w:val="16"/>
              </w:rPr>
              <w:t>[YYYY-MM-DD HH:MM, time zone]</w:t>
            </w:r>
          </w:p>
        </w:tc>
      </w:tr>
      <w:tr>
        <w:trPr>
          <w:cantSplit/>
        </w:trPr>
        <w:tc>
          <w:tcPr>
            <w:tcW w:type="dxa" w:w="2800"/>
            <w:vAlign w:val="center"/>
          </w:tcPr>
          <w:p>
            <w:pPr>
              <w:spacing w:before="0" w:after="30" w:line="240" w:lineRule="auto"/>
            </w:pPr>
            <w:r>
              <w:rPr>
                <w:rFonts w:ascii="Arial" w:hAnsi="Arial"/>
                <w:b w:val="0"/>
                <w:color w:val="2D3741"/>
                <w:sz w:val="16"/>
              </w:rPr>
              <w:t>Detection date and time</w:t>
            </w:r>
          </w:p>
        </w:tc>
        <w:tc>
          <w:tcPr>
            <w:tcW w:type="dxa" w:w="7078"/>
            <w:vAlign w:val="center"/>
            <w:shd w:fill="FFF2CC"/>
          </w:tcPr>
          <w:p>
            <w:pPr>
              <w:spacing w:before="0" w:after="30" w:line="240" w:lineRule="auto"/>
            </w:pPr>
            <w:r>
              <w:rPr>
                <w:rFonts w:ascii="Arial" w:hAnsi="Arial"/>
                <w:b w:val="0"/>
                <w:color w:val="2D3741"/>
                <w:sz w:val="16"/>
              </w:rPr>
              <w:t>[YYYY-MM-DD HH:MM, time zone]</w:t>
            </w:r>
          </w:p>
        </w:tc>
      </w:tr>
      <w:tr>
        <w:trPr>
          <w:cantSplit/>
        </w:trPr>
        <w:tc>
          <w:tcPr>
            <w:tcW w:type="dxa" w:w="2800"/>
            <w:vAlign w:val="center"/>
          </w:tcPr>
          <w:p>
            <w:pPr>
              <w:spacing w:before="0" w:after="30" w:line="240" w:lineRule="auto"/>
            </w:pPr>
            <w:r>
              <w:rPr>
                <w:rFonts w:ascii="Arial" w:hAnsi="Arial"/>
                <w:b w:val="0"/>
                <w:color w:val="2D3741"/>
                <w:sz w:val="16"/>
              </w:rPr>
              <w:t>Initial assessment owner</w:t>
            </w:r>
          </w:p>
        </w:tc>
        <w:tc>
          <w:tcPr>
            <w:tcW w:type="dxa" w:w="7078"/>
            <w:vAlign w:val="center"/>
            <w:shd w:fill="FFF2CC"/>
          </w:tcPr>
          <w:p>
            <w:pPr>
              <w:spacing w:before="0" w:after="30" w:line="240" w:lineRule="auto"/>
            </w:pPr>
            <w:r>
              <w:rPr>
                <w:rFonts w:ascii="Arial" w:hAnsi="Arial"/>
                <w:b w:val="0"/>
                <w:color w:val="2D3741"/>
                <w:sz w:val="16"/>
              </w:rPr>
              <w:t>[NAME / ROLE]</w:t>
            </w:r>
          </w:p>
        </w:tc>
      </w:tr>
      <w:tr>
        <w:trPr>
          <w:cantSplit/>
        </w:trPr>
        <w:tc>
          <w:tcPr>
            <w:tcW w:type="dxa" w:w="2800"/>
            <w:vAlign w:val="center"/>
          </w:tcPr>
          <w:p>
            <w:pPr>
              <w:spacing w:before="0" w:after="30" w:line="240" w:lineRule="auto"/>
            </w:pPr>
            <w:r>
              <w:rPr>
                <w:rFonts w:ascii="Arial" w:hAnsi="Arial"/>
                <w:b w:val="0"/>
                <w:color w:val="2D3741"/>
                <w:sz w:val="16"/>
              </w:rPr>
              <w:t>Business owner and technical lead</w:t>
            </w:r>
          </w:p>
        </w:tc>
        <w:tc>
          <w:tcPr>
            <w:tcW w:type="dxa" w:w="7078"/>
            <w:vAlign w:val="center"/>
            <w:shd w:fill="FFF2CC"/>
          </w:tcPr>
          <w:p>
            <w:pPr>
              <w:spacing w:before="0" w:after="30" w:line="240" w:lineRule="auto"/>
            </w:pPr>
            <w:r>
              <w:rPr>
                <w:rFonts w:ascii="Arial" w:hAnsi="Arial"/>
                <w:b w:val="0"/>
                <w:color w:val="2D3741"/>
                <w:sz w:val="16"/>
              </w:rPr>
              <w:t>[NAME / ROLE]</w:t>
            </w:r>
          </w:p>
        </w:tc>
      </w:tr>
      <w:tr>
        <w:trPr>
          <w:cantSplit/>
        </w:trPr>
        <w:tc>
          <w:tcPr>
            <w:tcW w:type="dxa" w:w="2800"/>
            <w:vAlign w:val="center"/>
          </w:tcPr>
          <w:p>
            <w:pPr>
              <w:spacing w:before="0" w:after="30" w:line="240" w:lineRule="auto"/>
            </w:pPr>
            <w:r>
              <w:rPr>
                <w:rFonts w:ascii="Arial" w:hAnsi="Arial"/>
                <w:b w:val="0"/>
                <w:color w:val="2D3741"/>
                <w:sz w:val="16"/>
              </w:rPr>
              <w:t>Current internal severity</w:t>
            </w:r>
          </w:p>
        </w:tc>
        <w:tc>
          <w:tcPr>
            <w:tcW w:type="dxa" w:w="7078"/>
            <w:vAlign w:val="center"/>
            <w:shd w:fill="FFF2CC"/>
          </w:tcPr>
          <w:p>
            <w:pPr>
              <w:spacing w:before="0" w:after="30" w:line="240" w:lineRule="auto"/>
            </w:pPr>
            <w:r>
              <w:rPr>
                <w:rFonts w:ascii="Arial" w:hAnsi="Arial"/>
                <w:b w:val="0"/>
                <w:color w:val="2D3741"/>
                <w:sz w:val="16"/>
              </w:rPr>
              <w:t>[S1 / S2 / S3 / S4]</w:t>
            </w:r>
          </w:p>
        </w:tc>
      </w:tr>
      <w:tr>
        <w:trPr>
          <w:cantSplit/>
        </w:trPr>
        <w:tc>
          <w:tcPr>
            <w:tcW w:type="dxa" w:w="2800"/>
            <w:vAlign w:val="center"/>
          </w:tcPr>
          <w:p>
            <w:pPr>
              <w:spacing w:before="0" w:after="30" w:line="240" w:lineRule="auto"/>
            </w:pPr>
            <w:r>
              <w:rPr>
                <w:rFonts w:ascii="Arial" w:hAnsi="Arial"/>
                <w:b w:val="0"/>
                <w:color w:val="2D3741"/>
                <w:sz w:val="16"/>
              </w:rPr>
              <w:t>Classification decision time</w:t>
            </w:r>
          </w:p>
        </w:tc>
        <w:tc>
          <w:tcPr>
            <w:tcW w:type="dxa" w:w="7078"/>
            <w:vAlign w:val="center"/>
            <w:shd w:fill="FFF2CC"/>
          </w:tcPr>
          <w:p>
            <w:pPr>
              <w:spacing w:before="0" w:after="30" w:line="240" w:lineRule="auto"/>
            </w:pPr>
            <w:r>
              <w:rPr>
                <w:rFonts w:ascii="Arial" w:hAnsi="Arial"/>
                <w:b w:val="0"/>
                <w:color w:val="2D3741"/>
                <w:sz w:val="16"/>
              </w:rPr>
              <w:t>[YYYY-MM-DD HH:MM, time zone]</w:t>
            </w:r>
          </w:p>
        </w:tc>
      </w:tr>
      <w:tr>
        <w:trPr>
          <w:cantSplit/>
        </w:trPr>
        <w:tc>
          <w:tcPr>
            <w:tcW w:type="dxa" w:w="2800"/>
            <w:vAlign w:val="center"/>
          </w:tcPr>
          <w:p>
            <w:pPr>
              <w:spacing w:before="0" w:after="30" w:line="240" w:lineRule="auto"/>
            </w:pPr>
            <w:r>
              <w:rPr>
                <w:rFonts w:ascii="Arial" w:hAnsi="Arial"/>
                <w:b w:val="0"/>
                <w:color w:val="2D3741"/>
                <w:sz w:val="16"/>
              </w:rPr>
              <w:t>Decision approver</w:t>
            </w:r>
          </w:p>
        </w:tc>
        <w:tc>
          <w:tcPr>
            <w:tcW w:type="dxa" w:w="7078"/>
            <w:vAlign w:val="center"/>
            <w:shd w:fill="FFF2CC"/>
          </w:tcPr>
          <w:p>
            <w:pPr>
              <w:spacing w:before="0" w:after="30" w:line="240" w:lineRule="auto"/>
            </w:pPr>
            <w:r>
              <w:rPr>
                <w:rFonts w:ascii="Arial" w:hAnsi="Arial"/>
                <w:b w:val="0"/>
                <w:color w:val="2D3741"/>
                <w:sz w:val="16"/>
              </w:rPr>
              <w:t>[NAME / ROLE]</w:t>
            </w:r>
          </w:p>
        </w:tc>
      </w:tr>
      <w:tr>
        <w:trPr>
          <w:cantSplit/>
        </w:trPr>
        <w:tc>
          <w:tcPr>
            <w:tcW w:type="dxa" w:w="2800"/>
            <w:vAlign w:val="center"/>
          </w:tcPr>
          <w:p>
            <w:pPr>
              <w:spacing w:before="0" w:after="30" w:line="240" w:lineRule="auto"/>
            </w:pPr>
            <w:r>
              <w:rPr>
                <w:rFonts w:ascii="Arial" w:hAnsi="Arial"/>
                <w:b w:val="0"/>
                <w:color w:val="2D3741"/>
                <w:sz w:val="16"/>
              </w:rPr>
              <w:t>Next mandatory reassessment</w:t>
            </w:r>
          </w:p>
        </w:tc>
        <w:tc>
          <w:tcPr>
            <w:tcW w:type="dxa" w:w="7078"/>
            <w:vAlign w:val="center"/>
            <w:shd w:fill="FFF2CC"/>
          </w:tcPr>
          <w:p>
            <w:pPr>
              <w:spacing w:before="0" w:after="30" w:line="240" w:lineRule="auto"/>
            </w:pPr>
            <w:r>
              <w:rPr>
                <w:rFonts w:ascii="Arial" w:hAnsi="Arial"/>
                <w:b w:val="0"/>
                <w:color w:val="2D3741"/>
                <w:sz w:val="16"/>
              </w:rPr>
              <w:t>[DATE / TIME / TRIGGER]</w:t>
            </w:r>
          </w:p>
        </w:tc>
      </w:tr>
    </w:tbl>
    <w:p>
      <w:pPr>
        <w:spacing w:after="20"/>
      </w:pPr>
    </w:p>
    <w:p>
      <w:pPr>
        <w:pStyle w:val="Heading2"/>
        <w:keepNext/>
      </w:pPr>
      <w:r>
        <w:t>A2. Major-incident decision sequence</w:t>
      </w:r>
    </w:p>
    <w:tbl>
      <w:tblPr>
        <w:tblStyle w:val="TableGrid"/>
        <w:tblW w:type="dxa" w:w="9878"/>
        <w:tblLayout w:type="fixed"/>
        <w:tblLook w:firstColumn="1" w:firstRow="1" w:lastColumn="0" w:lastRow="0" w:noHBand="0" w:noVBand="1" w:val="04A0"/>
        <w:tblInd w:w="90" w:type="dxa"/>
      </w:tblPr>
      <w:tblGrid>
        <w:gridCol w:w="900"/>
        <w:gridCol w:w="6500"/>
        <w:gridCol w:w="2478"/>
      </w:tblGrid>
      <w:tr>
        <w:trPr>
          <w:tblHeader w:val="true"/>
          <w:cantSplit/>
          <w:tblHeader w:val="true"/>
        </w:trPr>
        <w:tc>
          <w:tcPr>
            <w:tcW w:type="dxa" w:w="9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Step</w:t>
            </w:r>
          </w:p>
        </w:tc>
        <w:tc>
          <w:tcPr>
            <w:tcW w:type="dxa" w:w="65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Decision and evidence required</w:t>
            </w:r>
          </w:p>
        </w:tc>
        <w:tc>
          <w:tcPr>
            <w:tcW w:type="dxa" w:w="2478"/>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Outcome / entry</w:t>
            </w:r>
          </w:p>
        </w:tc>
      </w:tr>
      <w:tr>
        <w:trPr>
          <w:cantSplit/>
        </w:trPr>
        <w:tc>
          <w:tcPr>
            <w:tcW w:type="dxa" w:w="900"/>
            <w:vAlign w:val="center"/>
          </w:tcPr>
          <w:p>
            <w:pPr>
              <w:spacing w:before="0" w:after="30" w:line="240" w:lineRule="auto"/>
            </w:pPr>
            <w:r>
              <w:rPr>
                <w:rFonts w:ascii="Arial" w:hAnsi="Arial"/>
                <w:b w:val="0"/>
                <w:color w:val="2D3741"/>
                <w:sz w:val="16"/>
              </w:rPr>
              <w:t>1</w:t>
            </w:r>
          </w:p>
        </w:tc>
        <w:tc>
          <w:tcPr>
            <w:tcW w:type="dxa" w:w="6500"/>
            <w:vAlign w:val="center"/>
          </w:tcPr>
          <w:p>
            <w:pPr>
              <w:spacing w:before="0" w:after="30" w:line="240" w:lineRule="auto"/>
            </w:pPr>
            <w:r>
              <w:rPr>
                <w:rFonts w:ascii="Arial" w:hAnsi="Arial"/>
                <w:b w:val="0"/>
                <w:color w:val="2D3741"/>
                <w:sz w:val="16"/>
              </w:rPr>
              <w:t>Is this an ICT-related incident: an unplanned event or linked series affecting network and information systems and adversely affecting data or services?</w:t>
            </w:r>
          </w:p>
        </w:tc>
        <w:tc>
          <w:tcPr>
            <w:tcW w:type="dxa" w:w="2478"/>
            <w:vAlign w:val="center"/>
            <w:shd w:fill="FFF2CC"/>
          </w:tcPr>
          <w:p>
            <w:pPr>
              <w:spacing w:before="0" w:after="30" w:line="240" w:lineRule="auto"/>
            </w:pPr>
            <w:r>
              <w:rPr>
                <w:rFonts w:ascii="Arial" w:hAnsi="Arial"/>
                <w:b w:val="0"/>
                <w:color w:val="2D3741"/>
                <w:sz w:val="16"/>
              </w:rPr>
              <w:t>[YES / NO + rationale]</w:t>
            </w:r>
          </w:p>
        </w:tc>
      </w:tr>
      <w:tr>
        <w:trPr>
          <w:cantSplit/>
        </w:trPr>
        <w:tc>
          <w:tcPr>
            <w:tcW w:type="dxa" w:w="900"/>
            <w:vAlign w:val="center"/>
          </w:tcPr>
          <w:p>
            <w:pPr>
              <w:spacing w:before="0" w:after="30" w:line="240" w:lineRule="auto"/>
            </w:pPr>
            <w:r>
              <w:rPr>
                <w:rFonts w:ascii="Arial" w:hAnsi="Arial"/>
                <w:b w:val="0"/>
                <w:color w:val="2D3741"/>
                <w:sz w:val="16"/>
              </w:rPr>
              <w:t>2</w:t>
            </w:r>
          </w:p>
        </w:tc>
        <w:tc>
          <w:tcPr>
            <w:tcW w:type="dxa" w:w="6500"/>
            <w:vAlign w:val="center"/>
          </w:tcPr>
          <w:p>
            <w:pPr>
              <w:spacing w:before="0" w:after="30" w:line="240" w:lineRule="auto"/>
            </w:pPr>
            <w:r>
              <w:rPr>
                <w:rFonts w:ascii="Arial" w:hAnsi="Arial"/>
                <w:b w:val="0"/>
                <w:color w:val="2D3741"/>
                <w:sz w:val="16"/>
              </w:rPr>
              <w:t>Does it affect a critical service under RTS 2024/1772 Article 8(1)(a): a critical or important function; an authorisation/registration-dependent financial service; or successful malicious unauthorised access?</w:t>
            </w:r>
          </w:p>
        </w:tc>
        <w:tc>
          <w:tcPr>
            <w:tcW w:type="dxa" w:w="2478"/>
            <w:vAlign w:val="center"/>
            <w:shd w:fill="FFF2CC"/>
          </w:tcPr>
          <w:p>
            <w:pPr>
              <w:spacing w:before="0" w:after="30" w:line="240" w:lineRule="auto"/>
            </w:pPr>
            <w:r>
              <w:rPr>
                <w:rFonts w:ascii="Arial" w:hAnsi="Arial"/>
                <w:b w:val="0"/>
                <w:color w:val="2D3741"/>
                <w:sz w:val="16"/>
              </w:rPr>
              <w:t>[YES / NO + evidence]</w:t>
            </w:r>
          </w:p>
        </w:tc>
      </w:tr>
      <w:tr>
        <w:trPr>
          <w:cantSplit/>
        </w:trPr>
        <w:tc>
          <w:tcPr>
            <w:tcW w:type="dxa" w:w="900"/>
            <w:vAlign w:val="center"/>
          </w:tcPr>
          <w:p>
            <w:pPr>
              <w:spacing w:before="0" w:after="30" w:line="240" w:lineRule="auto"/>
            </w:pPr>
            <w:r>
              <w:rPr>
                <w:rFonts w:ascii="Arial" w:hAnsi="Arial"/>
                <w:b w:val="0"/>
                <w:color w:val="2D3741"/>
                <w:sz w:val="16"/>
              </w:rPr>
              <w:t>3</w:t>
            </w:r>
          </w:p>
        </w:tc>
        <w:tc>
          <w:tcPr>
            <w:tcW w:type="dxa" w:w="6500"/>
            <w:vAlign w:val="center"/>
          </w:tcPr>
          <w:p>
            <w:pPr>
              <w:spacing w:before="0" w:after="30" w:line="240" w:lineRule="auto"/>
            </w:pPr>
            <w:r>
              <w:rPr>
                <w:rFonts w:ascii="Arial" w:hAnsi="Arial"/>
                <w:b w:val="0"/>
                <w:color w:val="2D3741"/>
                <w:sz w:val="16"/>
              </w:rPr>
              <w:t>Is the data-loss threshold in Article 9(5)(b) met through successful malicious unauthorised access that may result in data loss?</w:t>
            </w:r>
          </w:p>
        </w:tc>
        <w:tc>
          <w:tcPr>
            <w:tcW w:type="dxa" w:w="2478"/>
            <w:vAlign w:val="center"/>
            <w:shd w:fill="FFF2CC"/>
          </w:tcPr>
          <w:p>
            <w:pPr>
              <w:spacing w:before="0" w:after="30" w:line="240" w:lineRule="auto"/>
            </w:pPr>
            <w:r>
              <w:rPr>
                <w:rFonts w:ascii="Arial" w:hAnsi="Arial"/>
                <w:b w:val="0"/>
                <w:color w:val="2D3741"/>
                <w:sz w:val="16"/>
              </w:rPr>
              <w:t>[YES / NO]</w:t>
            </w:r>
          </w:p>
        </w:tc>
      </w:tr>
      <w:tr>
        <w:trPr>
          <w:cantSplit/>
        </w:trPr>
        <w:tc>
          <w:tcPr>
            <w:tcW w:type="dxa" w:w="900"/>
            <w:vAlign w:val="center"/>
          </w:tcPr>
          <w:p>
            <w:pPr>
              <w:spacing w:before="0" w:after="30" w:line="240" w:lineRule="auto"/>
            </w:pPr>
            <w:r>
              <w:rPr>
                <w:rFonts w:ascii="Arial" w:hAnsi="Arial"/>
                <w:b w:val="0"/>
                <w:color w:val="2D3741"/>
                <w:sz w:val="16"/>
              </w:rPr>
              <w:t>4</w:t>
            </w:r>
          </w:p>
        </w:tc>
        <w:tc>
          <w:tcPr>
            <w:tcW w:type="dxa" w:w="6500"/>
            <w:vAlign w:val="center"/>
          </w:tcPr>
          <w:p>
            <w:pPr>
              <w:spacing w:before="0" w:after="30" w:line="240" w:lineRule="auto"/>
            </w:pPr>
            <w:r>
              <w:rPr>
                <w:rFonts w:ascii="Arial" w:hAnsi="Arial"/>
                <w:b w:val="0"/>
                <w:color w:val="2D3741"/>
                <w:sz w:val="16"/>
              </w:rPr>
              <w:t>If Step 3 is No, how many of the other materiality thresholds in Article 9 are met?</w:t>
            </w:r>
          </w:p>
        </w:tc>
        <w:tc>
          <w:tcPr>
            <w:tcW w:type="dxa" w:w="2478"/>
            <w:vAlign w:val="center"/>
            <w:shd w:fill="FFF2CC"/>
          </w:tcPr>
          <w:p>
            <w:pPr>
              <w:spacing w:before="0" w:after="30" w:line="240" w:lineRule="auto"/>
            </w:pPr>
            <w:r>
              <w:rPr>
                <w:rFonts w:ascii="Arial" w:hAnsi="Arial"/>
                <w:b w:val="0"/>
                <w:color w:val="2D3741"/>
                <w:sz w:val="16"/>
              </w:rPr>
              <w:t>[COUNT]</w:t>
            </w:r>
          </w:p>
        </w:tc>
      </w:tr>
      <w:tr>
        <w:trPr>
          <w:cantSplit/>
        </w:trPr>
        <w:tc>
          <w:tcPr>
            <w:tcW w:type="dxa" w:w="900"/>
            <w:vAlign w:val="center"/>
          </w:tcPr>
          <w:p>
            <w:pPr>
              <w:spacing w:before="0" w:after="30" w:line="240" w:lineRule="auto"/>
            </w:pPr>
            <w:r>
              <w:rPr>
                <w:rFonts w:ascii="Arial" w:hAnsi="Arial"/>
                <w:b w:val="0"/>
                <w:color w:val="2D3741"/>
                <w:sz w:val="16"/>
              </w:rPr>
              <w:t>5</w:t>
            </w:r>
          </w:p>
        </w:tc>
        <w:tc>
          <w:tcPr>
            <w:tcW w:type="dxa" w:w="6500"/>
            <w:vAlign w:val="center"/>
          </w:tcPr>
          <w:p>
            <w:pPr>
              <w:spacing w:before="0" w:after="30" w:line="240" w:lineRule="auto"/>
            </w:pPr>
            <w:r>
              <w:rPr>
                <w:rFonts w:ascii="Arial" w:hAnsi="Arial"/>
                <w:b w:val="0"/>
                <w:color w:val="2D3741"/>
                <w:sz w:val="16"/>
              </w:rPr>
              <w:t>Major incident conclusion: critical-service gate plus Step 3, or critical-service gate plus at least two other materiality thresholds.</w:t>
            </w:r>
          </w:p>
        </w:tc>
        <w:tc>
          <w:tcPr>
            <w:tcW w:type="dxa" w:w="2478"/>
            <w:vAlign w:val="center"/>
            <w:shd w:fill="FFF2CC"/>
          </w:tcPr>
          <w:p>
            <w:pPr>
              <w:spacing w:before="0" w:after="30" w:line="240" w:lineRule="auto"/>
            </w:pPr>
            <w:r>
              <w:rPr>
                <w:rFonts w:ascii="Arial" w:hAnsi="Arial"/>
                <w:b w:val="0"/>
                <w:color w:val="2D3741"/>
                <w:sz w:val="16"/>
              </w:rPr>
              <w:t>[MAJOR / NOT MAJOR / INSUFFICIENT FACTS]</w:t>
            </w:r>
          </w:p>
        </w:tc>
      </w:tr>
      <w:tr>
        <w:trPr>
          <w:cantSplit/>
        </w:trPr>
        <w:tc>
          <w:tcPr>
            <w:tcW w:type="dxa" w:w="900"/>
            <w:vAlign w:val="center"/>
          </w:tcPr>
          <w:p>
            <w:pPr>
              <w:spacing w:before="0" w:after="30" w:line="240" w:lineRule="auto"/>
            </w:pPr>
            <w:r>
              <w:rPr>
                <w:rFonts w:ascii="Arial" w:hAnsi="Arial"/>
                <w:b w:val="0"/>
                <w:color w:val="2D3741"/>
                <w:sz w:val="16"/>
              </w:rPr>
              <w:t>6</w:t>
            </w:r>
          </w:p>
        </w:tc>
        <w:tc>
          <w:tcPr>
            <w:tcW w:type="dxa" w:w="6500"/>
            <w:vAlign w:val="center"/>
          </w:tcPr>
          <w:p>
            <w:pPr>
              <w:spacing w:before="0" w:after="30" w:line="240" w:lineRule="auto"/>
            </w:pPr>
            <w:r>
              <w:rPr>
                <w:rFonts w:ascii="Arial" w:hAnsi="Arial"/>
                <w:b w:val="0"/>
                <w:color w:val="2D3741"/>
                <w:sz w:val="16"/>
              </w:rPr>
              <w:t>Has the conclusion or underlying estimate changed since the prior assessment?</w:t>
            </w:r>
          </w:p>
        </w:tc>
        <w:tc>
          <w:tcPr>
            <w:tcW w:type="dxa" w:w="2478"/>
            <w:vAlign w:val="center"/>
            <w:shd w:fill="FFF2CC"/>
          </w:tcPr>
          <w:p>
            <w:pPr>
              <w:spacing w:before="0" w:after="30" w:line="240" w:lineRule="auto"/>
            </w:pPr>
            <w:r>
              <w:rPr>
                <w:rFonts w:ascii="Arial" w:hAnsi="Arial"/>
                <w:b w:val="0"/>
                <w:color w:val="2D3741"/>
                <w:sz w:val="16"/>
              </w:rPr>
              <w:t>[NO / YES — record reclassification]</w:t>
            </w:r>
          </w:p>
        </w:tc>
      </w:tr>
    </w:tbl>
    <w:p>
      <w:pPr>
        <w:spacing w:after="20"/>
      </w:pPr>
    </w:p>
    <w:tbl>
      <w:tblPr>
        <w:tblW w:type="dxa" w:w="9878"/>
        <w:tblLayout w:type="fixed"/>
        <w:tblLook w:firstColumn="1" w:firstRow="1" w:lastColumn="0" w:lastRow="0" w:noHBand="0" w:noVBand="1" w:val="04A0"/>
        <w:tblInd w:w="90" w:type="dxa"/>
      </w:tblPr>
      <w:tblGrid>
        <w:gridCol w:w="1500"/>
        <w:gridCol w:w="8378"/>
      </w:tblGrid>
      <w:tr>
        <w:trPr>
          <w:cantSplit/>
          <w:tblHeader w:val="true"/>
        </w:trPr>
        <w:tc>
          <w:tcPr>
            <w:tcW w:type="dxa" w:w="15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SNI NOTE</w:t>
            </w:r>
          </w:p>
        </w:tc>
        <w:tc>
          <w:tcPr>
            <w:tcW w:type="dxa" w:w="8378"/>
            <w:tcMar>
              <w:top w:w="70" w:type="dxa"/>
              <w:start w:w="90" w:type="dxa"/>
              <w:bottom w:w="70" w:type="dxa"/>
              <w:end w:w="90" w:type="dxa"/>
            </w:tcMar>
            <w:vAlign w:val="center"/>
            <w:shd w:fill="EEF2F6"/>
          </w:tcPr>
          <w:p>
            <w:pPr>
              <w:spacing w:before="0" w:after="30" w:line="240" w:lineRule="auto"/>
            </w:pPr>
            <w:r>
              <w:rPr>
                <w:rFonts w:ascii="Arial" w:hAnsi="Arial"/>
                <w:b w:val="0"/>
                <w:color w:val="2D3741"/>
                <w:sz w:val="16"/>
              </w:rPr>
              <w:t>Article 16 entities are not subject to the recurring-incident aggregation mechanism in RTS 2024/1772 Article 8(2). Recurring events must still be logged, trended and risk-assessed.</w:t>
            </w:r>
          </w:p>
        </w:tc>
      </w:tr>
    </w:tbl>
    <w:p>
      <w:pPr>
        <w:spacing w:after="40"/>
      </w:pPr>
    </w:p>
    <w:p>
      <w:pPr>
        <w:pStyle w:val="Heading2"/>
        <w:keepNext/>
      </w:pPr>
      <w:r>
        <w:t>A3. Materiality threshold assessment</w:t>
      </w:r>
    </w:p>
    <w:tbl>
      <w:tblPr>
        <w:tblStyle w:val="TableGrid"/>
        <w:tblW w:type="dxa" w:w="9878"/>
        <w:tblLayout w:type="fixed"/>
        <w:tblLook w:firstColumn="1" w:firstRow="1" w:lastColumn="0" w:lastRow="0" w:noHBand="0" w:noVBand="1" w:val="04A0"/>
        <w:tblInd w:w="90" w:type="dxa"/>
      </w:tblPr>
      <w:tblGrid>
        <w:gridCol w:w="1900"/>
        <w:gridCol w:w="6100"/>
        <w:gridCol w:w="1878"/>
      </w:tblGrid>
      <w:tr>
        <w:trPr>
          <w:tblHeader w:val="true"/>
          <w:cantSplit/>
          <w:tblHeader w:val="true"/>
        </w:trPr>
        <w:tc>
          <w:tcPr>
            <w:tcW w:type="dxa" w:w="19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Criterion</w:t>
            </w:r>
          </w:p>
        </w:tc>
        <w:tc>
          <w:tcPr>
            <w:tcW w:type="dxa" w:w="61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Threshold test and evidence</w:t>
            </w:r>
          </w:p>
        </w:tc>
        <w:tc>
          <w:tcPr>
            <w:tcW w:type="dxa" w:w="1878"/>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Result</w:t>
            </w:r>
          </w:p>
        </w:tc>
      </w:tr>
      <w:tr>
        <w:trPr>
          <w:cantSplit/>
        </w:trPr>
        <w:tc>
          <w:tcPr>
            <w:tcW w:type="dxa" w:w="1900"/>
            <w:vAlign w:val="center"/>
          </w:tcPr>
          <w:p>
            <w:pPr>
              <w:spacing w:before="0" w:after="30" w:line="240" w:lineRule="auto"/>
            </w:pPr>
            <w:r>
              <w:rPr>
                <w:rFonts w:ascii="Arial" w:hAnsi="Arial"/>
                <w:b w:val="0"/>
                <w:color w:val="2D3741"/>
                <w:sz w:val="16"/>
              </w:rPr>
              <w:t>Critical service gate</w:t>
            </w:r>
          </w:p>
        </w:tc>
        <w:tc>
          <w:tcPr>
            <w:tcW w:type="dxa" w:w="6100"/>
            <w:vAlign w:val="center"/>
          </w:tcPr>
          <w:p>
            <w:pPr>
              <w:spacing w:before="0" w:after="30" w:line="240" w:lineRule="auto"/>
            </w:pPr>
            <w:r>
              <w:rPr>
                <w:rFonts w:ascii="Arial" w:hAnsi="Arial"/>
                <w:b w:val="0"/>
                <w:color w:val="2D3741"/>
                <w:sz w:val="16"/>
              </w:rPr>
              <w:t>Affected ICT service/system supports a critical or important function; an authorisation/registration-dependent financial service; or successful malicious unauthorised access occurred.</w:t>
            </w:r>
          </w:p>
        </w:tc>
        <w:tc>
          <w:tcPr>
            <w:tcW w:type="dxa" w:w="1878"/>
            <w:vAlign w:val="center"/>
            <w:shd w:fill="FFF2CC"/>
          </w:tcPr>
          <w:p>
            <w:pPr>
              <w:spacing w:before="0" w:after="30" w:line="240" w:lineRule="auto"/>
            </w:pPr>
            <w:r>
              <w:rPr>
                <w:rFonts w:ascii="Arial" w:hAnsi="Arial"/>
                <w:b w:val="0"/>
                <w:color w:val="2D3741"/>
                <w:sz w:val="16"/>
              </w:rPr>
              <w:t>[MET / NOT MET / TBC]</w:t>
            </w:r>
          </w:p>
        </w:tc>
      </w:tr>
      <w:tr>
        <w:trPr>
          <w:cantSplit/>
        </w:trPr>
        <w:tc>
          <w:tcPr>
            <w:tcW w:type="dxa" w:w="1900"/>
            <w:vAlign w:val="center"/>
          </w:tcPr>
          <w:p>
            <w:pPr>
              <w:spacing w:before="0" w:after="30" w:line="240" w:lineRule="auto"/>
            </w:pPr>
            <w:r>
              <w:rPr>
                <w:rFonts w:ascii="Arial" w:hAnsi="Arial"/>
                <w:b w:val="0"/>
                <w:color w:val="2D3741"/>
                <w:sz w:val="16"/>
              </w:rPr>
              <w:t>Clients / financial counterparts / transactions</w:t>
            </w:r>
          </w:p>
        </w:tc>
        <w:tc>
          <w:tcPr>
            <w:tcW w:type="dxa" w:w="6100"/>
            <w:vAlign w:val="center"/>
          </w:tcPr>
          <w:p>
            <w:pPr>
              <w:spacing w:before="0" w:after="30" w:line="240" w:lineRule="auto"/>
            </w:pPr>
            <w:r>
              <w:rPr>
                <w:rFonts w:ascii="Arial" w:hAnsi="Arial"/>
                <w:b w:val="0"/>
                <w:color w:val="2D3741"/>
                <w:sz w:val="16"/>
              </w:rPr>
              <w:t>Any Article 9(1) trigger: &gt;10% affected clients using the service; &gt;100,000 clients; &gt;30% relevant financial counterparts; &gt;10% daily average transaction count or value; or relevant clients/counterparts affected.</w:t>
            </w:r>
          </w:p>
        </w:tc>
        <w:tc>
          <w:tcPr>
            <w:tcW w:type="dxa" w:w="1878"/>
            <w:vAlign w:val="center"/>
            <w:shd w:fill="FFF2CC"/>
          </w:tcPr>
          <w:p>
            <w:pPr>
              <w:spacing w:before="0" w:after="30" w:line="240" w:lineRule="auto"/>
            </w:pPr>
            <w:r>
              <w:rPr>
                <w:rFonts w:ascii="Arial" w:hAnsi="Arial"/>
                <w:b w:val="0"/>
                <w:color w:val="2D3741"/>
                <w:sz w:val="16"/>
              </w:rPr>
              <w:t>[MET / NOT MET / TBC]</w:t>
            </w:r>
          </w:p>
        </w:tc>
      </w:tr>
      <w:tr>
        <w:trPr>
          <w:cantSplit/>
        </w:trPr>
        <w:tc>
          <w:tcPr>
            <w:tcW w:type="dxa" w:w="1900"/>
            <w:vAlign w:val="center"/>
          </w:tcPr>
          <w:p>
            <w:pPr>
              <w:spacing w:before="0" w:after="30" w:line="240" w:lineRule="auto"/>
            </w:pPr>
            <w:r>
              <w:rPr>
                <w:rFonts w:ascii="Arial" w:hAnsi="Arial"/>
                <w:b w:val="0"/>
                <w:color w:val="2D3741"/>
                <w:sz w:val="16"/>
              </w:rPr>
              <w:t>Reputational impact</w:t>
            </w:r>
          </w:p>
        </w:tc>
        <w:tc>
          <w:tcPr>
            <w:tcW w:type="dxa" w:w="6100"/>
            <w:vAlign w:val="center"/>
          </w:tcPr>
          <w:p>
            <w:pPr>
              <w:spacing w:before="0" w:after="30" w:line="240" w:lineRule="auto"/>
            </w:pPr>
            <w:r>
              <w:rPr>
                <w:rFonts w:ascii="Arial" w:hAnsi="Arial"/>
                <w:b w:val="0"/>
                <w:color w:val="2D3741"/>
                <w:sz w:val="16"/>
              </w:rPr>
              <w:t>Any Article 2 condition: media attention; repetitive complaints; likely inability to meet regulatory requirements; or likely loss of clients/counterparts with material business impact.</w:t>
            </w:r>
          </w:p>
        </w:tc>
        <w:tc>
          <w:tcPr>
            <w:tcW w:type="dxa" w:w="1878"/>
            <w:vAlign w:val="center"/>
            <w:shd w:fill="FFF2CC"/>
          </w:tcPr>
          <w:p>
            <w:pPr>
              <w:spacing w:before="0" w:after="30" w:line="240" w:lineRule="auto"/>
            </w:pPr>
            <w:r>
              <w:rPr>
                <w:rFonts w:ascii="Arial" w:hAnsi="Arial"/>
                <w:b w:val="0"/>
                <w:color w:val="2D3741"/>
                <w:sz w:val="16"/>
              </w:rPr>
              <w:t>[MET / NOT MET / TBC]</w:t>
            </w:r>
          </w:p>
        </w:tc>
      </w:tr>
      <w:tr>
        <w:trPr>
          <w:cantSplit/>
        </w:trPr>
        <w:tc>
          <w:tcPr>
            <w:tcW w:type="dxa" w:w="1900"/>
            <w:vAlign w:val="center"/>
          </w:tcPr>
          <w:p>
            <w:pPr>
              <w:spacing w:before="0" w:after="30" w:line="240" w:lineRule="auto"/>
            </w:pPr>
            <w:r>
              <w:rPr>
                <w:rFonts w:ascii="Arial" w:hAnsi="Arial"/>
                <w:b w:val="0"/>
                <w:color w:val="2D3741"/>
                <w:sz w:val="16"/>
              </w:rPr>
              <w:t>Duration / downtime</w:t>
            </w:r>
          </w:p>
        </w:tc>
        <w:tc>
          <w:tcPr>
            <w:tcW w:type="dxa" w:w="6100"/>
            <w:vAlign w:val="center"/>
          </w:tcPr>
          <w:p>
            <w:pPr>
              <w:spacing w:before="0" w:after="30" w:line="240" w:lineRule="auto"/>
            </w:pPr>
            <w:r>
              <w:rPr>
                <w:rFonts w:ascii="Arial" w:hAnsi="Arial"/>
                <w:b w:val="0"/>
                <w:color w:val="2D3741"/>
                <w:sz w:val="16"/>
              </w:rPr>
              <w:t>Incident duration &gt;24 hours, or service downtime &gt;2 hours for ICT services supporting a critical or important function.</w:t>
            </w:r>
          </w:p>
        </w:tc>
        <w:tc>
          <w:tcPr>
            <w:tcW w:type="dxa" w:w="1878"/>
            <w:vAlign w:val="center"/>
            <w:shd w:fill="FFF2CC"/>
          </w:tcPr>
          <w:p>
            <w:pPr>
              <w:spacing w:before="0" w:after="30" w:line="240" w:lineRule="auto"/>
            </w:pPr>
            <w:r>
              <w:rPr>
                <w:rFonts w:ascii="Arial" w:hAnsi="Arial"/>
                <w:b w:val="0"/>
                <w:color w:val="2D3741"/>
                <w:sz w:val="16"/>
              </w:rPr>
              <w:t>[MET / NOT MET / TBC]</w:t>
            </w:r>
          </w:p>
        </w:tc>
      </w:tr>
      <w:tr>
        <w:trPr>
          <w:cantSplit/>
        </w:trPr>
        <w:tc>
          <w:tcPr>
            <w:tcW w:type="dxa" w:w="1900"/>
            <w:vAlign w:val="center"/>
          </w:tcPr>
          <w:p>
            <w:pPr>
              <w:spacing w:before="0" w:after="30" w:line="240" w:lineRule="auto"/>
            </w:pPr>
            <w:r>
              <w:rPr>
                <w:rFonts w:ascii="Arial" w:hAnsi="Arial"/>
                <w:b w:val="0"/>
                <w:color w:val="2D3741"/>
                <w:sz w:val="16"/>
              </w:rPr>
              <w:t>Geographical spread</w:t>
            </w:r>
          </w:p>
        </w:tc>
        <w:tc>
          <w:tcPr>
            <w:tcW w:type="dxa" w:w="6100"/>
            <w:vAlign w:val="center"/>
          </w:tcPr>
          <w:p>
            <w:pPr>
              <w:spacing w:before="0" w:after="30" w:line="240" w:lineRule="auto"/>
            </w:pPr>
            <w:r>
              <w:rPr>
                <w:rFonts w:ascii="Arial" w:hAnsi="Arial"/>
                <w:b w:val="0"/>
                <w:color w:val="2D3741"/>
                <w:sz w:val="16"/>
              </w:rPr>
              <w:t>Impact in two or more Member States, assessed using affected clients/counterparts, branches/group entities, infrastructures/providers or market infrastructures.</w:t>
            </w:r>
          </w:p>
        </w:tc>
        <w:tc>
          <w:tcPr>
            <w:tcW w:type="dxa" w:w="1878"/>
            <w:vAlign w:val="center"/>
            <w:shd w:fill="FFF2CC"/>
          </w:tcPr>
          <w:p>
            <w:pPr>
              <w:spacing w:before="0" w:after="30" w:line="240" w:lineRule="auto"/>
            </w:pPr>
            <w:r>
              <w:rPr>
                <w:rFonts w:ascii="Arial" w:hAnsi="Arial"/>
                <w:b w:val="0"/>
                <w:color w:val="2D3741"/>
                <w:sz w:val="16"/>
              </w:rPr>
              <w:t>[MET / NOT MET / TBC]</w:t>
            </w:r>
          </w:p>
        </w:tc>
      </w:tr>
      <w:tr>
        <w:trPr>
          <w:cantSplit/>
        </w:trPr>
        <w:tc>
          <w:tcPr>
            <w:tcW w:type="dxa" w:w="1900"/>
            <w:vAlign w:val="center"/>
          </w:tcPr>
          <w:p>
            <w:pPr>
              <w:spacing w:before="0" w:after="30" w:line="240" w:lineRule="auto"/>
            </w:pPr>
            <w:r>
              <w:rPr>
                <w:rFonts w:ascii="Arial" w:hAnsi="Arial"/>
                <w:b w:val="0"/>
                <w:color w:val="2D3741"/>
                <w:sz w:val="16"/>
              </w:rPr>
              <w:t>Data loss</w:t>
            </w:r>
          </w:p>
        </w:tc>
        <w:tc>
          <w:tcPr>
            <w:tcW w:type="dxa" w:w="6100"/>
            <w:vAlign w:val="center"/>
          </w:tcPr>
          <w:p>
            <w:pPr>
              <w:spacing w:before="0" w:after="30" w:line="240" w:lineRule="auto"/>
            </w:pPr>
            <w:r>
              <w:rPr>
                <w:rFonts w:ascii="Arial" w:hAnsi="Arial"/>
                <w:b w:val="0"/>
                <w:color w:val="2D3741"/>
                <w:sz w:val="16"/>
              </w:rPr>
              <w:t>Availability, authenticity, integrity or confidentiality impact adversely affects business objectives or regulatory duties; or successful malicious unauthorised access may result in data loss.</w:t>
            </w:r>
          </w:p>
        </w:tc>
        <w:tc>
          <w:tcPr>
            <w:tcW w:type="dxa" w:w="1878"/>
            <w:vAlign w:val="center"/>
            <w:shd w:fill="FFF2CC"/>
          </w:tcPr>
          <w:p>
            <w:pPr>
              <w:spacing w:before="0" w:after="30" w:line="240" w:lineRule="auto"/>
            </w:pPr>
            <w:r>
              <w:rPr>
                <w:rFonts w:ascii="Arial" w:hAnsi="Arial"/>
                <w:b w:val="0"/>
                <w:color w:val="2D3741"/>
                <w:sz w:val="16"/>
              </w:rPr>
              <w:t>[MET / NOT MET / TBC]</w:t>
            </w:r>
          </w:p>
        </w:tc>
      </w:tr>
      <w:tr>
        <w:trPr>
          <w:cantSplit/>
        </w:trPr>
        <w:tc>
          <w:tcPr>
            <w:tcW w:type="dxa" w:w="1900"/>
            <w:vAlign w:val="center"/>
          </w:tcPr>
          <w:p>
            <w:pPr>
              <w:spacing w:before="0" w:after="30" w:line="240" w:lineRule="auto"/>
            </w:pPr>
            <w:r>
              <w:rPr>
                <w:rFonts w:ascii="Arial" w:hAnsi="Arial"/>
                <w:b w:val="0"/>
                <w:color w:val="2D3741"/>
                <w:sz w:val="16"/>
              </w:rPr>
              <w:t>Economic impact</w:t>
            </w:r>
          </w:p>
        </w:tc>
        <w:tc>
          <w:tcPr>
            <w:tcW w:type="dxa" w:w="6100"/>
            <w:vAlign w:val="center"/>
          </w:tcPr>
          <w:p>
            <w:pPr>
              <w:spacing w:before="0" w:after="30" w:line="240" w:lineRule="auto"/>
            </w:pPr>
            <w:r>
              <w:rPr>
                <w:rFonts w:ascii="Arial" w:hAnsi="Arial"/>
                <w:b w:val="0"/>
                <w:color w:val="2D3741"/>
                <w:sz w:val="16"/>
              </w:rPr>
              <w:t>Costs and losses exceed or are likely to exceed EUR 100,000, using available actual and estimated direct and indirect items.</w:t>
            </w:r>
          </w:p>
        </w:tc>
        <w:tc>
          <w:tcPr>
            <w:tcW w:type="dxa" w:w="1878"/>
            <w:vAlign w:val="center"/>
            <w:shd w:fill="FFF2CC"/>
          </w:tcPr>
          <w:p>
            <w:pPr>
              <w:spacing w:before="0" w:after="30" w:line="240" w:lineRule="auto"/>
            </w:pPr>
            <w:r>
              <w:rPr>
                <w:rFonts w:ascii="Arial" w:hAnsi="Arial"/>
                <w:b w:val="0"/>
                <w:color w:val="2D3741"/>
                <w:sz w:val="16"/>
              </w:rPr>
              <w:t>[MET / NOT MET / TBC]</w:t>
            </w:r>
          </w:p>
        </w:tc>
      </w:tr>
    </w:tbl>
    <w:p>
      <w:pPr>
        <w:spacing w:after="20"/>
      </w:pPr>
    </w:p>
    <w:p>
      <w:pPr>
        <w:pStyle w:val="Heading2"/>
        <w:keepNext/>
      </w:pPr>
      <w:r>
        <w:t>A4. Quantitative calculation record</w:t>
      </w:r>
    </w:p>
    <w:tbl>
      <w:tblPr>
        <w:tblStyle w:val="TableGrid"/>
        <w:tblW w:type="dxa" w:w="9878"/>
        <w:tblLayout w:type="fixed"/>
        <w:tblLook w:firstColumn="1" w:firstRow="1" w:lastColumn="0" w:lastRow="0" w:noHBand="0" w:noVBand="1" w:val="04A0"/>
        <w:tblInd w:w="90" w:type="dxa"/>
      </w:tblPr>
      <w:tblGrid>
        <w:gridCol w:w="2200"/>
        <w:gridCol w:w="2300"/>
        <w:gridCol w:w="2500"/>
        <w:gridCol w:w="2878"/>
      </w:tblGrid>
      <w:tr>
        <w:trPr>
          <w:tblHeader w:val="true"/>
          <w:cantSplit/>
          <w:tblHeader w:val="true"/>
        </w:trPr>
        <w:tc>
          <w:tcPr>
            <w:tcW w:type="dxa" w:w="22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Measure</w:t>
            </w:r>
          </w:p>
        </w:tc>
        <w:tc>
          <w:tcPr>
            <w:tcW w:type="dxa" w:w="23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Numerator / affected</w:t>
            </w:r>
          </w:p>
        </w:tc>
        <w:tc>
          <w:tcPr>
            <w:tcW w:type="dxa" w:w="25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Denominator / baseline</w:t>
            </w:r>
          </w:p>
        </w:tc>
        <w:tc>
          <w:tcPr>
            <w:tcW w:type="dxa" w:w="2878"/>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Result and source</w:t>
            </w:r>
          </w:p>
        </w:tc>
      </w:tr>
      <w:tr>
        <w:trPr>
          <w:cantSplit/>
        </w:trPr>
        <w:tc>
          <w:tcPr>
            <w:tcW w:type="dxa" w:w="2200"/>
            <w:vAlign w:val="center"/>
          </w:tcPr>
          <w:p>
            <w:pPr>
              <w:spacing w:before="0" w:after="30" w:line="240" w:lineRule="auto"/>
            </w:pPr>
            <w:r>
              <w:rPr>
                <w:rFonts w:ascii="Arial" w:hAnsi="Arial"/>
                <w:b w:val="0"/>
                <w:color w:val="2D3741"/>
                <w:sz w:val="16"/>
              </w:rPr>
              <w:t>Clients using affected service</w:t>
            </w:r>
          </w:p>
        </w:tc>
        <w:tc>
          <w:tcPr>
            <w:tcW w:type="dxa" w:w="2300"/>
            <w:vAlign w:val="center"/>
            <w:shd w:fill="FFF2CC"/>
          </w:tcPr>
          <w:p>
            <w:pPr>
              <w:spacing w:before="0" w:after="30" w:line="240" w:lineRule="auto"/>
            </w:pPr>
            <w:r>
              <w:rPr>
                <w:rFonts w:ascii="Arial" w:hAnsi="Arial"/>
                <w:b w:val="0"/>
                <w:color w:val="2D3741"/>
                <w:sz w:val="16"/>
              </w:rPr>
              <w:t>[NUMBER / ESTIMATE]</w:t>
            </w:r>
          </w:p>
        </w:tc>
        <w:tc>
          <w:tcPr>
            <w:tcW w:type="dxa" w:w="2500"/>
            <w:vAlign w:val="center"/>
            <w:shd w:fill="FFF2CC"/>
          </w:tcPr>
          <w:p>
            <w:pPr>
              <w:spacing w:before="0" w:after="30" w:line="240" w:lineRule="auto"/>
            </w:pPr>
            <w:r>
              <w:rPr>
                <w:rFonts w:ascii="Arial" w:hAnsi="Arial"/>
                <w:b w:val="0"/>
                <w:color w:val="2D3741"/>
                <w:sz w:val="16"/>
              </w:rPr>
              <w:t>[TOTAL CLIENTS USING SERVICE]</w:t>
            </w:r>
          </w:p>
        </w:tc>
        <w:tc>
          <w:tcPr>
            <w:tcW w:type="dxa" w:w="2878"/>
            <w:vAlign w:val="center"/>
            <w:shd w:fill="FFF2CC"/>
          </w:tcPr>
          <w:p>
            <w:pPr>
              <w:spacing w:before="0" w:after="30" w:line="240" w:lineRule="auto"/>
            </w:pPr>
            <w:r>
              <w:rPr>
                <w:rFonts w:ascii="Arial" w:hAnsi="Arial"/>
                <w:b w:val="0"/>
                <w:color w:val="2D3741"/>
                <w:sz w:val="16"/>
              </w:rPr>
              <w:t>[% / source / as-of time]</w:t>
            </w:r>
          </w:p>
        </w:tc>
      </w:tr>
      <w:tr>
        <w:trPr>
          <w:cantSplit/>
        </w:trPr>
        <w:tc>
          <w:tcPr>
            <w:tcW w:type="dxa" w:w="2200"/>
            <w:vAlign w:val="center"/>
          </w:tcPr>
          <w:p>
            <w:pPr>
              <w:spacing w:before="0" w:after="30" w:line="240" w:lineRule="auto"/>
            </w:pPr>
            <w:r>
              <w:rPr>
                <w:rFonts w:ascii="Arial" w:hAnsi="Arial"/>
                <w:b w:val="0"/>
                <w:color w:val="2D3741"/>
                <w:sz w:val="16"/>
              </w:rPr>
              <w:t>Financial counterparts</w:t>
            </w:r>
          </w:p>
        </w:tc>
        <w:tc>
          <w:tcPr>
            <w:tcW w:type="dxa" w:w="2300"/>
            <w:vAlign w:val="center"/>
            <w:shd w:fill="FFF2CC"/>
          </w:tcPr>
          <w:p>
            <w:pPr>
              <w:spacing w:before="0" w:after="30" w:line="240" w:lineRule="auto"/>
            </w:pPr>
            <w:r>
              <w:rPr>
                <w:rFonts w:ascii="Arial" w:hAnsi="Arial"/>
                <w:b w:val="0"/>
                <w:color w:val="2D3741"/>
                <w:sz w:val="16"/>
              </w:rPr>
              <w:t>[NUMBER / ESTIMATE]</w:t>
            </w:r>
          </w:p>
        </w:tc>
        <w:tc>
          <w:tcPr>
            <w:tcW w:type="dxa" w:w="2500"/>
            <w:vAlign w:val="center"/>
            <w:shd w:fill="FFF2CC"/>
          </w:tcPr>
          <w:p>
            <w:pPr>
              <w:spacing w:before="0" w:after="30" w:line="240" w:lineRule="auto"/>
            </w:pPr>
            <w:r>
              <w:rPr>
                <w:rFonts w:ascii="Arial" w:hAnsi="Arial"/>
                <w:b w:val="0"/>
                <w:color w:val="2D3741"/>
                <w:sz w:val="16"/>
              </w:rPr>
              <w:t>[TOTAL RELEVANT COUNTERPARTS]</w:t>
            </w:r>
          </w:p>
        </w:tc>
        <w:tc>
          <w:tcPr>
            <w:tcW w:type="dxa" w:w="2878"/>
            <w:vAlign w:val="center"/>
            <w:shd w:fill="FFF2CC"/>
          </w:tcPr>
          <w:p>
            <w:pPr>
              <w:spacing w:before="0" w:after="30" w:line="240" w:lineRule="auto"/>
            </w:pPr>
            <w:r>
              <w:rPr>
                <w:rFonts w:ascii="Arial" w:hAnsi="Arial"/>
                <w:b w:val="0"/>
                <w:color w:val="2D3741"/>
                <w:sz w:val="16"/>
              </w:rPr>
              <w:t>[% / source / as-of time]</w:t>
            </w:r>
          </w:p>
        </w:tc>
      </w:tr>
      <w:tr>
        <w:trPr>
          <w:cantSplit/>
        </w:trPr>
        <w:tc>
          <w:tcPr>
            <w:tcW w:type="dxa" w:w="2200"/>
            <w:vAlign w:val="center"/>
          </w:tcPr>
          <w:p>
            <w:pPr>
              <w:spacing w:before="0" w:after="30" w:line="240" w:lineRule="auto"/>
            </w:pPr>
            <w:r>
              <w:rPr>
                <w:rFonts w:ascii="Arial" w:hAnsi="Arial"/>
                <w:b w:val="0"/>
                <w:color w:val="2D3741"/>
                <w:sz w:val="16"/>
              </w:rPr>
              <w:t>Transaction count</w:t>
            </w:r>
          </w:p>
        </w:tc>
        <w:tc>
          <w:tcPr>
            <w:tcW w:type="dxa" w:w="2300"/>
            <w:vAlign w:val="center"/>
            <w:shd w:fill="FFF2CC"/>
          </w:tcPr>
          <w:p>
            <w:pPr>
              <w:spacing w:before="0" w:after="30" w:line="240" w:lineRule="auto"/>
            </w:pPr>
            <w:r>
              <w:rPr>
                <w:rFonts w:ascii="Arial" w:hAnsi="Arial"/>
                <w:b w:val="0"/>
                <w:color w:val="2D3741"/>
                <w:sz w:val="16"/>
              </w:rPr>
              <w:t>[AFFECTED COUNT]</w:t>
            </w:r>
          </w:p>
        </w:tc>
        <w:tc>
          <w:tcPr>
            <w:tcW w:type="dxa" w:w="2500"/>
            <w:vAlign w:val="center"/>
            <w:shd w:fill="FFF2CC"/>
          </w:tcPr>
          <w:p>
            <w:pPr>
              <w:spacing w:before="0" w:after="30" w:line="240" w:lineRule="auto"/>
            </w:pPr>
            <w:r>
              <w:rPr>
                <w:rFonts w:ascii="Arial" w:hAnsi="Arial"/>
                <w:b w:val="0"/>
                <w:color w:val="2D3741"/>
                <w:sz w:val="16"/>
              </w:rPr>
              <w:t>[DAILY AVERAGE COUNT]</w:t>
            </w:r>
          </w:p>
        </w:tc>
        <w:tc>
          <w:tcPr>
            <w:tcW w:type="dxa" w:w="2878"/>
            <w:vAlign w:val="center"/>
            <w:shd w:fill="FFF2CC"/>
          </w:tcPr>
          <w:p>
            <w:pPr>
              <w:spacing w:before="0" w:after="30" w:line="240" w:lineRule="auto"/>
            </w:pPr>
            <w:r>
              <w:rPr>
                <w:rFonts w:ascii="Arial" w:hAnsi="Arial"/>
                <w:b w:val="0"/>
                <w:color w:val="2D3741"/>
                <w:sz w:val="16"/>
              </w:rPr>
              <w:t>[% / methodology]</w:t>
            </w:r>
          </w:p>
        </w:tc>
      </w:tr>
      <w:tr>
        <w:trPr>
          <w:cantSplit/>
        </w:trPr>
        <w:tc>
          <w:tcPr>
            <w:tcW w:type="dxa" w:w="2200"/>
            <w:vAlign w:val="center"/>
          </w:tcPr>
          <w:p>
            <w:pPr>
              <w:spacing w:before="0" w:after="30" w:line="240" w:lineRule="auto"/>
            </w:pPr>
            <w:r>
              <w:rPr>
                <w:rFonts w:ascii="Arial" w:hAnsi="Arial"/>
                <w:b w:val="0"/>
                <w:color w:val="2D3741"/>
                <w:sz w:val="16"/>
              </w:rPr>
              <w:t>Transaction value</w:t>
            </w:r>
          </w:p>
        </w:tc>
        <w:tc>
          <w:tcPr>
            <w:tcW w:type="dxa" w:w="2300"/>
            <w:vAlign w:val="center"/>
            <w:shd w:fill="FFF2CC"/>
          </w:tcPr>
          <w:p>
            <w:pPr>
              <w:spacing w:before="0" w:after="30" w:line="240" w:lineRule="auto"/>
            </w:pPr>
            <w:r>
              <w:rPr>
                <w:rFonts w:ascii="Arial" w:hAnsi="Arial"/>
                <w:b w:val="0"/>
                <w:color w:val="2D3741"/>
                <w:sz w:val="16"/>
              </w:rPr>
              <w:t>[AFFECTED VALUE / CURRENCY]</w:t>
            </w:r>
          </w:p>
        </w:tc>
        <w:tc>
          <w:tcPr>
            <w:tcW w:type="dxa" w:w="2500"/>
            <w:vAlign w:val="center"/>
            <w:shd w:fill="FFF2CC"/>
          </w:tcPr>
          <w:p>
            <w:pPr>
              <w:spacing w:before="0" w:after="30" w:line="240" w:lineRule="auto"/>
            </w:pPr>
            <w:r>
              <w:rPr>
                <w:rFonts w:ascii="Arial" w:hAnsi="Arial"/>
                <w:b w:val="0"/>
                <w:color w:val="2D3741"/>
                <w:sz w:val="16"/>
              </w:rPr>
              <w:t>[DAILY AVERAGE VALUE]</w:t>
            </w:r>
          </w:p>
        </w:tc>
        <w:tc>
          <w:tcPr>
            <w:tcW w:type="dxa" w:w="2878"/>
            <w:vAlign w:val="center"/>
            <w:shd w:fill="FFF2CC"/>
          </w:tcPr>
          <w:p>
            <w:pPr>
              <w:spacing w:before="0" w:after="30" w:line="240" w:lineRule="auto"/>
            </w:pPr>
            <w:r>
              <w:rPr>
                <w:rFonts w:ascii="Arial" w:hAnsi="Arial"/>
                <w:b w:val="0"/>
                <w:color w:val="2D3741"/>
                <w:sz w:val="16"/>
              </w:rPr>
              <w:t>[% / FX basis]</w:t>
            </w:r>
          </w:p>
        </w:tc>
      </w:tr>
      <w:tr>
        <w:trPr>
          <w:cantSplit/>
        </w:trPr>
        <w:tc>
          <w:tcPr>
            <w:tcW w:type="dxa" w:w="2200"/>
            <w:vAlign w:val="center"/>
          </w:tcPr>
          <w:p>
            <w:pPr>
              <w:spacing w:before="0" w:after="30" w:line="240" w:lineRule="auto"/>
            </w:pPr>
            <w:r>
              <w:rPr>
                <w:rFonts w:ascii="Arial" w:hAnsi="Arial"/>
                <w:b w:val="0"/>
                <w:color w:val="2D3741"/>
                <w:sz w:val="16"/>
              </w:rPr>
              <w:t>Duration</w:t>
            </w:r>
          </w:p>
        </w:tc>
        <w:tc>
          <w:tcPr>
            <w:tcW w:type="dxa" w:w="2300"/>
            <w:vAlign w:val="center"/>
            <w:shd w:fill="FFF2CC"/>
          </w:tcPr>
          <w:p>
            <w:pPr>
              <w:spacing w:before="0" w:after="30" w:line="240" w:lineRule="auto"/>
            </w:pPr>
            <w:r>
              <w:rPr>
                <w:rFonts w:ascii="Arial" w:hAnsi="Arial"/>
                <w:b w:val="0"/>
                <w:color w:val="2D3741"/>
                <w:sz w:val="16"/>
              </w:rPr>
              <w:t>[START / ESTIMATED START]</w:t>
            </w:r>
          </w:p>
        </w:tc>
        <w:tc>
          <w:tcPr>
            <w:tcW w:type="dxa" w:w="2500"/>
            <w:vAlign w:val="center"/>
            <w:shd w:fill="FFF2CC"/>
          </w:tcPr>
          <w:p>
            <w:pPr>
              <w:spacing w:before="0" w:after="30" w:line="240" w:lineRule="auto"/>
            </w:pPr>
            <w:r>
              <w:rPr>
                <w:rFonts w:ascii="Arial" w:hAnsi="Arial"/>
                <w:b w:val="0"/>
                <w:color w:val="2D3741"/>
                <w:sz w:val="16"/>
              </w:rPr>
              <w:t>[CURRENT / END TIME]</w:t>
            </w:r>
          </w:p>
        </w:tc>
        <w:tc>
          <w:tcPr>
            <w:tcW w:type="dxa" w:w="2878"/>
            <w:vAlign w:val="center"/>
            <w:shd w:fill="FFF2CC"/>
          </w:tcPr>
          <w:p>
            <w:pPr>
              <w:spacing w:before="0" w:after="30" w:line="240" w:lineRule="auto"/>
            </w:pPr>
            <w:r>
              <w:rPr>
                <w:rFonts w:ascii="Arial" w:hAnsi="Arial"/>
                <w:b w:val="0"/>
                <w:color w:val="2D3741"/>
                <w:sz w:val="16"/>
              </w:rPr>
              <w:t>[HOURS / source]</w:t>
            </w:r>
          </w:p>
        </w:tc>
      </w:tr>
      <w:tr>
        <w:trPr>
          <w:cantSplit/>
        </w:trPr>
        <w:tc>
          <w:tcPr>
            <w:tcW w:type="dxa" w:w="2200"/>
            <w:vAlign w:val="center"/>
          </w:tcPr>
          <w:p>
            <w:pPr>
              <w:spacing w:before="0" w:after="30" w:line="240" w:lineRule="auto"/>
            </w:pPr>
            <w:r>
              <w:rPr>
                <w:rFonts w:ascii="Arial" w:hAnsi="Arial"/>
                <w:b w:val="0"/>
                <w:color w:val="2D3741"/>
                <w:sz w:val="16"/>
              </w:rPr>
              <w:t>Service downtime</w:t>
            </w:r>
          </w:p>
        </w:tc>
        <w:tc>
          <w:tcPr>
            <w:tcW w:type="dxa" w:w="2300"/>
            <w:vAlign w:val="center"/>
            <w:shd w:fill="FFF2CC"/>
          </w:tcPr>
          <w:p>
            <w:pPr>
              <w:spacing w:before="0" w:after="30" w:line="240" w:lineRule="auto"/>
            </w:pPr>
            <w:r>
              <w:rPr>
                <w:rFonts w:ascii="Arial" w:hAnsi="Arial"/>
                <w:b w:val="0"/>
                <w:color w:val="2D3741"/>
                <w:sz w:val="16"/>
              </w:rPr>
              <w:t>[START / ESTIMATED START]</w:t>
            </w:r>
          </w:p>
        </w:tc>
        <w:tc>
          <w:tcPr>
            <w:tcW w:type="dxa" w:w="2500"/>
            <w:vAlign w:val="center"/>
            <w:shd w:fill="FFF2CC"/>
          </w:tcPr>
          <w:p>
            <w:pPr>
              <w:spacing w:before="0" w:after="30" w:line="240" w:lineRule="auto"/>
            </w:pPr>
            <w:r>
              <w:rPr>
                <w:rFonts w:ascii="Arial" w:hAnsi="Arial"/>
                <w:b w:val="0"/>
                <w:color w:val="2D3741"/>
                <w:sz w:val="16"/>
              </w:rPr>
              <w:t>[CURRENT / RESTORE TIME]</w:t>
            </w:r>
          </w:p>
        </w:tc>
        <w:tc>
          <w:tcPr>
            <w:tcW w:type="dxa" w:w="2878"/>
            <w:vAlign w:val="center"/>
            <w:shd w:fill="FFF2CC"/>
          </w:tcPr>
          <w:p>
            <w:pPr>
              <w:spacing w:before="0" w:after="30" w:line="240" w:lineRule="auto"/>
            </w:pPr>
            <w:r>
              <w:rPr>
                <w:rFonts w:ascii="Arial" w:hAnsi="Arial"/>
                <w:b w:val="0"/>
                <w:color w:val="2D3741"/>
                <w:sz w:val="16"/>
              </w:rPr>
              <w:t>[HOURS / workaround effect]</w:t>
            </w:r>
          </w:p>
        </w:tc>
      </w:tr>
      <w:tr>
        <w:trPr>
          <w:cantSplit/>
        </w:trPr>
        <w:tc>
          <w:tcPr>
            <w:tcW w:type="dxa" w:w="2200"/>
            <w:vAlign w:val="center"/>
          </w:tcPr>
          <w:p>
            <w:pPr>
              <w:spacing w:before="0" w:after="30" w:line="240" w:lineRule="auto"/>
            </w:pPr>
            <w:r>
              <w:rPr>
                <w:rFonts w:ascii="Arial" w:hAnsi="Arial"/>
                <w:b w:val="0"/>
                <w:color w:val="2D3741"/>
                <w:sz w:val="16"/>
              </w:rPr>
              <w:t>Economic impact</w:t>
            </w:r>
          </w:p>
        </w:tc>
        <w:tc>
          <w:tcPr>
            <w:tcW w:type="dxa" w:w="2300"/>
            <w:vAlign w:val="center"/>
            <w:shd w:fill="FFF2CC"/>
          </w:tcPr>
          <w:p>
            <w:pPr>
              <w:spacing w:before="0" w:after="30" w:line="240" w:lineRule="auto"/>
            </w:pPr>
            <w:r>
              <w:rPr>
                <w:rFonts w:ascii="Arial" w:hAnsi="Arial"/>
                <w:b w:val="0"/>
                <w:color w:val="2D3741"/>
                <w:sz w:val="16"/>
              </w:rPr>
              <w:t>[ACTUAL]</w:t>
            </w:r>
          </w:p>
        </w:tc>
        <w:tc>
          <w:tcPr>
            <w:tcW w:type="dxa" w:w="2500"/>
            <w:vAlign w:val="center"/>
            <w:shd w:fill="FFF2CC"/>
          </w:tcPr>
          <w:p>
            <w:pPr>
              <w:spacing w:before="0" w:after="30" w:line="240" w:lineRule="auto"/>
            </w:pPr>
            <w:r>
              <w:rPr>
                <w:rFonts w:ascii="Arial" w:hAnsi="Arial"/>
                <w:b w:val="0"/>
                <w:color w:val="2D3741"/>
                <w:sz w:val="16"/>
              </w:rPr>
              <w:t>[ESTIMATED / FORECAST]</w:t>
            </w:r>
          </w:p>
        </w:tc>
        <w:tc>
          <w:tcPr>
            <w:tcW w:type="dxa" w:w="2878"/>
            <w:vAlign w:val="center"/>
            <w:shd w:fill="FFF2CC"/>
          </w:tcPr>
          <w:p>
            <w:pPr>
              <w:spacing w:before="0" w:after="30" w:line="240" w:lineRule="auto"/>
            </w:pPr>
            <w:r>
              <w:rPr>
                <w:rFonts w:ascii="Arial" w:hAnsi="Arial"/>
                <w:b w:val="0"/>
                <w:color w:val="2D3741"/>
                <w:sz w:val="16"/>
              </w:rPr>
              <w:t>[EUR total / FX rate / source]</w:t>
            </w:r>
          </w:p>
        </w:tc>
      </w:tr>
    </w:tbl>
    <w:p>
      <w:pPr>
        <w:spacing w:after="20"/>
      </w:pPr>
    </w:p>
    <w:p>
      <w:pPr>
        <w:pStyle w:val="Heading2"/>
        <w:keepNext/>
      </w:pPr>
      <w:r>
        <w:t>A5. Data-loss and criticality record</w:t>
      </w:r>
    </w:p>
    <w:tbl>
      <w:tblPr>
        <w:tblStyle w:val="TableGrid"/>
        <w:tblW w:type="dxa" w:w="9878"/>
        <w:tblLayout w:type="fixed"/>
        <w:tblLook w:firstColumn="1" w:firstRow="1" w:lastColumn="0" w:lastRow="0" w:noHBand="0" w:noVBand="1" w:val="04A0"/>
        <w:tblInd w:w="90" w:type="dxa"/>
      </w:tblPr>
      <w:tblGrid>
        <w:gridCol w:w="1800"/>
        <w:gridCol w:w="4000"/>
        <w:gridCol w:w="4078"/>
      </w:tblGrid>
      <w:tr>
        <w:trPr>
          <w:tblHeader w:val="true"/>
          <w:cantSplit/>
          <w:tblHeader w:val="true"/>
        </w:trPr>
        <w:tc>
          <w:tcPr>
            <w:tcW w:type="dxa" w:w="18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Dimension</w:t>
            </w:r>
          </w:p>
        </w:tc>
        <w:tc>
          <w:tcPr>
            <w:tcW w:type="dxa" w:w="40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Observed or potential impact</w:t>
            </w:r>
          </w:p>
        </w:tc>
        <w:tc>
          <w:tcPr>
            <w:tcW w:type="dxa" w:w="4078"/>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Evidence / conclusion</w:t>
            </w:r>
          </w:p>
        </w:tc>
      </w:tr>
      <w:tr>
        <w:trPr>
          <w:cantSplit/>
        </w:trPr>
        <w:tc>
          <w:tcPr>
            <w:tcW w:type="dxa" w:w="1800"/>
            <w:vAlign w:val="center"/>
          </w:tcPr>
          <w:p>
            <w:pPr>
              <w:spacing w:before="0" w:after="30" w:line="240" w:lineRule="auto"/>
            </w:pPr>
            <w:r>
              <w:rPr>
                <w:rFonts w:ascii="Arial" w:hAnsi="Arial"/>
                <w:b w:val="0"/>
                <w:color w:val="2D3741"/>
                <w:sz w:val="16"/>
              </w:rPr>
              <w:t>Availability</w:t>
            </w:r>
          </w:p>
        </w:tc>
        <w:tc>
          <w:tcPr>
            <w:tcW w:type="dxa" w:w="4000"/>
            <w:vAlign w:val="center"/>
          </w:tcPr>
          <w:p>
            <w:pPr>
              <w:spacing w:before="0" w:after="30" w:line="240" w:lineRule="auto"/>
            </w:pPr>
            <w:r>
              <w:rPr>
                <w:rFonts w:ascii="Arial" w:hAnsi="Arial"/>
                <w:b w:val="0"/>
                <w:color w:val="2D3741"/>
                <w:sz w:val="16"/>
              </w:rPr>
              <w:t>Data or service inaccessible or unusable.</w:t>
            </w:r>
          </w:p>
        </w:tc>
        <w:tc>
          <w:tcPr>
            <w:tcW w:type="dxa" w:w="4078"/>
            <w:vAlign w:val="center"/>
            <w:shd w:fill="FFF2CC"/>
          </w:tcPr>
          <w:p>
            <w:pPr>
              <w:spacing w:before="0" w:after="30" w:line="240" w:lineRule="auto"/>
            </w:pPr>
            <w:r>
              <w:rPr>
                <w:rFonts w:ascii="Arial" w:hAnsi="Arial"/>
                <w:b w:val="0"/>
                <w:color w:val="2D3741"/>
                <w:sz w:val="16"/>
              </w:rPr>
              <w:t>[COMPLETE]</w:t>
            </w:r>
          </w:p>
        </w:tc>
      </w:tr>
      <w:tr>
        <w:trPr>
          <w:cantSplit/>
        </w:trPr>
        <w:tc>
          <w:tcPr>
            <w:tcW w:type="dxa" w:w="1800"/>
            <w:vAlign w:val="center"/>
          </w:tcPr>
          <w:p>
            <w:pPr>
              <w:spacing w:before="0" w:after="30" w:line="240" w:lineRule="auto"/>
            </w:pPr>
            <w:r>
              <w:rPr>
                <w:rFonts w:ascii="Arial" w:hAnsi="Arial"/>
                <w:b w:val="0"/>
                <w:color w:val="2D3741"/>
                <w:sz w:val="16"/>
              </w:rPr>
              <w:t>Authenticity</w:t>
            </w:r>
          </w:p>
        </w:tc>
        <w:tc>
          <w:tcPr>
            <w:tcW w:type="dxa" w:w="4000"/>
            <w:vAlign w:val="center"/>
          </w:tcPr>
          <w:p>
            <w:pPr>
              <w:spacing w:before="0" w:after="30" w:line="240" w:lineRule="auto"/>
            </w:pPr>
            <w:r>
              <w:rPr>
                <w:rFonts w:ascii="Arial" w:hAnsi="Arial"/>
                <w:b w:val="0"/>
                <w:color w:val="2D3741"/>
                <w:sz w:val="16"/>
              </w:rPr>
              <w:t>Source or identity of data cannot be confirmed.</w:t>
            </w:r>
          </w:p>
        </w:tc>
        <w:tc>
          <w:tcPr>
            <w:tcW w:type="dxa" w:w="4078"/>
            <w:vAlign w:val="center"/>
            <w:shd w:fill="FFF2CC"/>
          </w:tcPr>
          <w:p>
            <w:pPr>
              <w:spacing w:before="0" w:after="30" w:line="240" w:lineRule="auto"/>
            </w:pPr>
            <w:r>
              <w:rPr>
                <w:rFonts w:ascii="Arial" w:hAnsi="Arial"/>
                <w:b w:val="0"/>
                <w:color w:val="2D3741"/>
                <w:sz w:val="16"/>
              </w:rPr>
              <w:t>[COMPLETE]</w:t>
            </w:r>
          </w:p>
        </w:tc>
      </w:tr>
      <w:tr>
        <w:trPr>
          <w:cantSplit/>
        </w:trPr>
        <w:tc>
          <w:tcPr>
            <w:tcW w:type="dxa" w:w="1800"/>
            <w:vAlign w:val="center"/>
          </w:tcPr>
          <w:p>
            <w:pPr>
              <w:spacing w:before="0" w:after="30" w:line="240" w:lineRule="auto"/>
            </w:pPr>
            <w:r>
              <w:rPr>
                <w:rFonts w:ascii="Arial" w:hAnsi="Arial"/>
                <w:b w:val="0"/>
                <w:color w:val="2D3741"/>
                <w:sz w:val="16"/>
              </w:rPr>
              <w:t>Integrity</w:t>
            </w:r>
          </w:p>
        </w:tc>
        <w:tc>
          <w:tcPr>
            <w:tcW w:type="dxa" w:w="4000"/>
            <w:vAlign w:val="center"/>
          </w:tcPr>
          <w:p>
            <w:pPr>
              <w:spacing w:before="0" w:after="30" w:line="240" w:lineRule="auto"/>
            </w:pPr>
            <w:r>
              <w:rPr>
                <w:rFonts w:ascii="Arial" w:hAnsi="Arial"/>
                <w:b w:val="0"/>
                <w:color w:val="2D3741"/>
                <w:sz w:val="16"/>
              </w:rPr>
              <w:t>Data changed, corrupted or incomplete without authorisation.</w:t>
            </w:r>
          </w:p>
        </w:tc>
        <w:tc>
          <w:tcPr>
            <w:tcW w:type="dxa" w:w="4078"/>
            <w:vAlign w:val="center"/>
            <w:shd w:fill="FFF2CC"/>
          </w:tcPr>
          <w:p>
            <w:pPr>
              <w:spacing w:before="0" w:after="30" w:line="240" w:lineRule="auto"/>
            </w:pPr>
            <w:r>
              <w:rPr>
                <w:rFonts w:ascii="Arial" w:hAnsi="Arial"/>
                <w:b w:val="0"/>
                <w:color w:val="2D3741"/>
                <w:sz w:val="16"/>
              </w:rPr>
              <w:t>[COMPLETE]</w:t>
            </w:r>
          </w:p>
        </w:tc>
      </w:tr>
      <w:tr>
        <w:trPr>
          <w:cantSplit/>
        </w:trPr>
        <w:tc>
          <w:tcPr>
            <w:tcW w:type="dxa" w:w="1800"/>
            <w:vAlign w:val="center"/>
          </w:tcPr>
          <w:p>
            <w:pPr>
              <w:spacing w:before="0" w:after="30" w:line="240" w:lineRule="auto"/>
            </w:pPr>
            <w:r>
              <w:rPr>
                <w:rFonts w:ascii="Arial" w:hAnsi="Arial"/>
                <w:b w:val="0"/>
                <w:color w:val="2D3741"/>
                <w:sz w:val="16"/>
              </w:rPr>
              <w:t>Confidentiality</w:t>
            </w:r>
          </w:p>
        </w:tc>
        <w:tc>
          <w:tcPr>
            <w:tcW w:type="dxa" w:w="4000"/>
            <w:vAlign w:val="center"/>
          </w:tcPr>
          <w:p>
            <w:pPr>
              <w:spacing w:before="0" w:after="30" w:line="240" w:lineRule="auto"/>
            </w:pPr>
            <w:r>
              <w:rPr>
                <w:rFonts w:ascii="Arial" w:hAnsi="Arial"/>
                <w:b w:val="0"/>
                <w:color w:val="2D3741"/>
                <w:sz w:val="16"/>
              </w:rPr>
              <w:t>Unauthorised access, disclosure or exposure.</w:t>
            </w:r>
          </w:p>
        </w:tc>
        <w:tc>
          <w:tcPr>
            <w:tcW w:type="dxa" w:w="4078"/>
            <w:vAlign w:val="center"/>
            <w:shd w:fill="FFF2CC"/>
          </w:tcPr>
          <w:p>
            <w:pPr>
              <w:spacing w:before="0" w:after="30" w:line="240" w:lineRule="auto"/>
            </w:pPr>
            <w:r>
              <w:rPr>
                <w:rFonts w:ascii="Arial" w:hAnsi="Arial"/>
                <w:b w:val="0"/>
                <w:color w:val="2D3741"/>
                <w:sz w:val="16"/>
              </w:rPr>
              <w:t>[COMPLETE]</w:t>
            </w:r>
          </w:p>
        </w:tc>
      </w:tr>
      <w:tr>
        <w:trPr>
          <w:cantSplit/>
        </w:trPr>
        <w:tc>
          <w:tcPr>
            <w:tcW w:type="dxa" w:w="1800"/>
            <w:vAlign w:val="center"/>
          </w:tcPr>
          <w:p>
            <w:pPr>
              <w:spacing w:before="0" w:after="30" w:line="240" w:lineRule="auto"/>
            </w:pPr>
            <w:r>
              <w:rPr>
                <w:rFonts w:ascii="Arial" w:hAnsi="Arial"/>
                <w:b w:val="0"/>
                <w:color w:val="2D3741"/>
                <w:sz w:val="16"/>
              </w:rPr>
              <w:t>Critical function / service</w:t>
            </w:r>
          </w:p>
        </w:tc>
        <w:tc>
          <w:tcPr>
            <w:tcW w:type="dxa" w:w="4000"/>
            <w:vAlign w:val="center"/>
          </w:tcPr>
          <w:p>
            <w:pPr>
              <w:spacing w:before="0" w:after="30" w:line="240" w:lineRule="auto"/>
            </w:pPr>
            <w:r>
              <w:rPr>
                <w:rFonts w:ascii="Arial" w:hAnsi="Arial"/>
                <w:b w:val="0"/>
                <w:color w:val="2D3741"/>
                <w:sz w:val="16"/>
              </w:rPr>
              <w:t>Affected function, service, permission and operational dependency.</w:t>
            </w:r>
          </w:p>
        </w:tc>
        <w:tc>
          <w:tcPr>
            <w:tcW w:type="dxa" w:w="4078"/>
            <w:vAlign w:val="center"/>
            <w:shd w:fill="FFF2CC"/>
          </w:tcPr>
          <w:p>
            <w:pPr>
              <w:spacing w:before="0" w:after="30" w:line="240" w:lineRule="auto"/>
            </w:pPr>
            <w:r>
              <w:rPr>
                <w:rFonts w:ascii="Arial" w:hAnsi="Arial"/>
                <w:b w:val="0"/>
                <w:color w:val="2D3741"/>
                <w:sz w:val="16"/>
              </w:rPr>
              <w:t>[D04 reference + conclusion]</w:t>
            </w:r>
          </w:p>
        </w:tc>
      </w:tr>
      <w:tr>
        <w:trPr>
          <w:cantSplit/>
        </w:trPr>
        <w:tc>
          <w:tcPr>
            <w:tcW w:type="dxa" w:w="1800"/>
            <w:vAlign w:val="center"/>
          </w:tcPr>
          <w:p>
            <w:pPr>
              <w:spacing w:before="0" w:after="30" w:line="240" w:lineRule="auto"/>
            </w:pPr>
            <w:r>
              <w:rPr>
                <w:rFonts w:ascii="Arial" w:hAnsi="Arial"/>
                <w:b w:val="0"/>
                <w:color w:val="2D3741"/>
                <w:sz w:val="16"/>
              </w:rPr>
              <w:t>Malicious unauthorised access</w:t>
            </w:r>
          </w:p>
        </w:tc>
        <w:tc>
          <w:tcPr>
            <w:tcW w:type="dxa" w:w="4000"/>
            <w:vAlign w:val="center"/>
          </w:tcPr>
          <w:p>
            <w:pPr>
              <w:spacing w:before="0" w:after="30" w:line="240" w:lineRule="auto"/>
            </w:pPr>
            <w:r>
              <w:rPr>
                <w:rFonts w:ascii="Arial" w:hAnsi="Arial"/>
                <w:b w:val="0"/>
                <w:color w:val="2D3741"/>
                <w:sz w:val="16"/>
              </w:rPr>
              <w:t>Successful access and whether it may result in data loss.</w:t>
            </w:r>
          </w:p>
        </w:tc>
        <w:tc>
          <w:tcPr>
            <w:tcW w:type="dxa" w:w="4078"/>
            <w:vAlign w:val="center"/>
            <w:shd w:fill="FFF2CC"/>
          </w:tcPr>
          <w:p>
            <w:pPr>
              <w:spacing w:before="0" w:after="30" w:line="240" w:lineRule="auto"/>
            </w:pPr>
            <w:r>
              <w:rPr>
                <w:rFonts w:ascii="Arial" w:hAnsi="Arial"/>
                <w:b w:val="0"/>
                <w:color w:val="2D3741"/>
                <w:sz w:val="16"/>
              </w:rPr>
              <w:t>[COMPLETE]</w:t>
            </w:r>
          </w:p>
        </w:tc>
      </w:tr>
    </w:tbl>
    <w:p>
      <w:pPr>
        <w:spacing w:after="20"/>
      </w:pPr>
    </w:p>
    <w:p>
      <w:pPr>
        <w:pStyle w:val="Heading2"/>
        <w:keepNext/>
      </w:pPr>
      <w:r>
        <w:t>A6. Significant cyber-threat assessment</w:t>
      </w:r>
    </w:p>
    <w:tbl>
      <w:tblPr>
        <w:tblStyle w:val="TableGrid"/>
        <w:tblW w:type="dxa" w:w="9878"/>
        <w:tblLayout w:type="fixed"/>
        <w:tblLook w:firstColumn="1" w:firstRow="1" w:lastColumn="0" w:lastRow="0" w:noHBand="0" w:noVBand="1" w:val="04A0"/>
        <w:tblInd w:w="90" w:type="dxa"/>
      </w:tblPr>
      <w:tblGrid>
        <w:gridCol w:w="5400"/>
        <w:gridCol w:w="4478"/>
      </w:tblGrid>
      <w:tr>
        <w:trPr>
          <w:tblHeader w:val="true"/>
          <w:cantSplit/>
          <w:tblHeader w:val="true"/>
        </w:trPr>
        <w:tc>
          <w:tcPr>
            <w:tcW w:type="dxa" w:w="54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Question</w:t>
            </w:r>
          </w:p>
        </w:tc>
        <w:tc>
          <w:tcPr>
            <w:tcW w:type="dxa" w:w="4478"/>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Assessment / evidence</w:t>
            </w:r>
          </w:p>
        </w:tc>
      </w:tr>
      <w:tr>
        <w:trPr>
          <w:cantSplit/>
        </w:trPr>
        <w:tc>
          <w:tcPr>
            <w:tcW w:type="dxa" w:w="5400"/>
            <w:vAlign w:val="center"/>
          </w:tcPr>
          <w:p>
            <w:pPr>
              <w:spacing w:before="0" w:after="30" w:line="240" w:lineRule="auto"/>
            </w:pPr>
            <w:r>
              <w:rPr>
                <w:rFonts w:ascii="Arial" w:hAnsi="Arial"/>
                <w:b w:val="0"/>
                <w:color w:val="2D3741"/>
                <w:sz w:val="16"/>
              </w:rPr>
              <w:t>Could the threat affect a critical or important function, authorisation-dependent service, relevant clients/counterparts, transaction activity, geography, data or economic position?</w:t>
            </w:r>
          </w:p>
        </w:tc>
        <w:tc>
          <w:tcPr>
            <w:tcW w:type="dxa" w:w="4478"/>
            <w:vAlign w:val="center"/>
            <w:shd w:fill="FFF2CC"/>
          </w:tcPr>
          <w:p>
            <w:pPr>
              <w:spacing w:before="0" w:after="30" w:line="240" w:lineRule="auto"/>
            </w:pPr>
            <w:r>
              <w:rPr>
                <w:rFonts w:ascii="Arial" w:hAnsi="Arial"/>
                <w:b w:val="0"/>
                <w:color w:val="2D3741"/>
                <w:sz w:val="16"/>
              </w:rPr>
              <w:t>[COMPLETE]</w:t>
            </w:r>
          </w:p>
        </w:tc>
      </w:tr>
      <w:tr>
        <w:trPr>
          <w:cantSplit/>
        </w:trPr>
        <w:tc>
          <w:tcPr>
            <w:tcW w:type="dxa" w:w="5400"/>
            <w:vAlign w:val="center"/>
          </w:tcPr>
          <w:p>
            <w:pPr>
              <w:spacing w:before="0" w:after="30" w:line="240" w:lineRule="auto"/>
            </w:pPr>
            <w:r>
              <w:rPr>
                <w:rFonts w:ascii="Arial" w:hAnsi="Arial"/>
                <w:b w:val="0"/>
                <w:color w:val="2D3741"/>
                <w:sz w:val="16"/>
              </w:rPr>
              <w:t>Are technical characteristics, indicators, threat-actor capability or campaign activity sufficiently credible and proximate?</w:t>
            </w:r>
          </w:p>
        </w:tc>
        <w:tc>
          <w:tcPr>
            <w:tcW w:type="dxa" w:w="4478"/>
            <w:vAlign w:val="center"/>
            <w:shd w:fill="FFF2CC"/>
          </w:tcPr>
          <w:p>
            <w:pPr>
              <w:spacing w:before="0" w:after="30" w:line="240" w:lineRule="auto"/>
            </w:pPr>
            <w:r>
              <w:rPr>
                <w:rFonts w:ascii="Arial" w:hAnsi="Arial"/>
                <w:b w:val="0"/>
                <w:color w:val="2D3741"/>
                <w:sz w:val="16"/>
              </w:rPr>
              <w:t>[COMPLETE]</w:t>
            </w:r>
          </w:p>
        </w:tc>
      </w:tr>
      <w:tr>
        <w:trPr>
          <w:cantSplit/>
        </w:trPr>
        <w:tc>
          <w:tcPr>
            <w:tcW w:type="dxa" w:w="5400"/>
            <w:vAlign w:val="center"/>
          </w:tcPr>
          <w:p>
            <w:pPr>
              <w:spacing w:before="0" w:after="30" w:line="240" w:lineRule="auto"/>
            </w:pPr>
            <w:r>
              <w:rPr>
                <w:rFonts w:ascii="Arial" w:hAnsi="Arial"/>
                <w:b w:val="0"/>
                <w:color w:val="2D3741"/>
                <w:sz w:val="16"/>
              </w:rPr>
              <w:t>Would materialisation likely satisfy the major-incident criteria?</w:t>
            </w:r>
          </w:p>
        </w:tc>
        <w:tc>
          <w:tcPr>
            <w:tcW w:type="dxa" w:w="4478"/>
            <w:vAlign w:val="center"/>
            <w:shd w:fill="FFF2CC"/>
          </w:tcPr>
          <w:p>
            <w:pPr>
              <w:spacing w:before="0" w:after="30" w:line="240" w:lineRule="auto"/>
            </w:pPr>
            <w:r>
              <w:rPr>
                <w:rFonts w:ascii="Arial" w:hAnsi="Arial"/>
                <w:b w:val="0"/>
                <w:color w:val="2D3741"/>
                <w:sz w:val="16"/>
              </w:rPr>
              <w:t>[YES / NO / UNCERTAIN + rationale]</w:t>
            </w:r>
          </w:p>
        </w:tc>
      </w:tr>
      <w:tr>
        <w:trPr>
          <w:cantSplit/>
        </w:trPr>
        <w:tc>
          <w:tcPr>
            <w:tcW w:type="dxa" w:w="5400"/>
            <w:vAlign w:val="center"/>
          </w:tcPr>
          <w:p>
            <w:pPr>
              <w:spacing w:before="0" w:after="30" w:line="240" w:lineRule="auto"/>
            </w:pPr>
            <w:r>
              <w:rPr>
                <w:rFonts w:ascii="Arial" w:hAnsi="Arial"/>
                <w:b w:val="0"/>
                <w:color w:val="2D3741"/>
                <w:sz w:val="16"/>
              </w:rPr>
              <w:t>Voluntary notification decision under DORA Article 19(2)</w:t>
            </w:r>
          </w:p>
        </w:tc>
        <w:tc>
          <w:tcPr>
            <w:tcW w:type="dxa" w:w="4478"/>
            <w:vAlign w:val="center"/>
            <w:shd w:fill="FFF2CC"/>
          </w:tcPr>
          <w:p>
            <w:pPr>
              <w:spacing w:before="0" w:after="30" w:line="240" w:lineRule="auto"/>
            </w:pPr>
            <w:r>
              <w:rPr>
                <w:rFonts w:ascii="Arial" w:hAnsi="Arial"/>
                <w:b w:val="0"/>
                <w:color w:val="2D3741"/>
                <w:sz w:val="16"/>
              </w:rPr>
              <w:t>[NOTIFY / DO NOT NOTIFY / REASSESS + approver]</w:t>
            </w:r>
          </w:p>
        </w:tc>
      </w:tr>
    </w:tbl>
    <w:p>
      <w:pPr>
        <w:spacing w:after="20"/>
      </w:pPr>
    </w:p>
    <w:p>
      <w:pPr>
        <w:pStyle w:val="Heading2"/>
        <w:keepNext/>
      </w:pPr>
      <w:r>
        <w:t>A7. Decision, escalation and reassessment log</w:t>
      </w:r>
    </w:p>
    <w:tbl>
      <w:tblPr>
        <w:tblStyle w:val="TableGrid"/>
        <w:tblW w:type="dxa" w:w="9878"/>
        <w:tblLayout w:type="fixed"/>
        <w:tblLook w:firstColumn="1" w:firstRow="1" w:lastColumn="0" w:lastRow="0" w:noHBand="0" w:noVBand="1" w:val="04A0"/>
        <w:tblInd w:w="90" w:type="dxa"/>
      </w:tblPr>
      <w:tblGrid>
        <w:gridCol w:w="1700"/>
        <w:gridCol w:w="3000"/>
        <w:gridCol w:w="2978"/>
        <w:gridCol w:w="2200"/>
      </w:tblGrid>
      <w:tr>
        <w:trPr>
          <w:tblHeader w:val="true"/>
          <w:cantSplit/>
          <w:tblHeader w:val="true"/>
        </w:trPr>
        <w:tc>
          <w:tcPr>
            <w:tcW w:type="dxa" w:w="17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Assessment time</w:t>
            </w:r>
          </w:p>
        </w:tc>
        <w:tc>
          <w:tcPr>
            <w:tcW w:type="dxa" w:w="30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Facts / estimates changed</w:t>
            </w:r>
          </w:p>
        </w:tc>
        <w:tc>
          <w:tcPr>
            <w:tcW w:type="dxa" w:w="2978"/>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Decision and thresholds</w:t>
            </w:r>
          </w:p>
        </w:tc>
        <w:tc>
          <w:tcPr>
            <w:tcW w:type="dxa" w:w="22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Owner / approval</w:t>
            </w:r>
          </w:p>
        </w:tc>
      </w:tr>
      <w:tr>
        <w:trPr>
          <w:cantSplit/>
        </w:trPr>
        <w:tc>
          <w:tcPr>
            <w:tcW w:type="dxa" w:w="1700"/>
            <w:vAlign w:val="center"/>
            <w:shd w:fill="FFF2CC"/>
          </w:tcPr>
          <w:p>
            <w:pPr>
              <w:spacing w:before="0" w:after="30" w:line="240" w:lineRule="auto"/>
            </w:pPr>
            <w:r>
              <w:rPr>
                <w:rFonts w:ascii="Arial" w:hAnsi="Arial"/>
                <w:b w:val="0"/>
                <w:color w:val="2D3741"/>
                <w:sz w:val="16"/>
              </w:rPr>
              <w:t>[DATE / TIME]</w:t>
            </w:r>
          </w:p>
        </w:tc>
        <w:tc>
          <w:tcPr>
            <w:tcW w:type="dxa" w:w="3000"/>
            <w:vAlign w:val="center"/>
            <w:shd w:fill="FFF2CC"/>
          </w:tcPr>
          <w:p>
            <w:pPr>
              <w:spacing w:before="0" w:after="30" w:line="240" w:lineRule="auto"/>
            </w:pPr>
            <w:r>
              <w:rPr>
                <w:rFonts w:ascii="Arial" w:hAnsi="Arial"/>
                <w:b w:val="0"/>
                <w:color w:val="2D3741"/>
                <w:sz w:val="16"/>
              </w:rPr>
              <w:t>[COMPLETE]</w:t>
            </w:r>
          </w:p>
        </w:tc>
        <w:tc>
          <w:tcPr>
            <w:tcW w:type="dxa" w:w="2978"/>
            <w:vAlign w:val="center"/>
            <w:shd w:fill="FFF2CC"/>
          </w:tcPr>
          <w:p>
            <w:pPr>
              <w:spacing w:before="0" w:after="30" w:line="240" w:lineRule="auto"/>
            </w:pPr>
            <w:r>
              <w:rPr>
                <w:rFonts w:ascii="Arial" w:hAnsi="Arial"/>
                <w:b w:val="0"/>
                <w:color w:val="2D3741"/>
                <w:sz w:val="16"/>
              </w:rPr>
              <w:t>[MAJOR / NOT MAJOR / TBC]</w:t>
            </w:r>
          </w:p>
        </w:tc>
        <w:tc>
          <w:tcPr>
            <w:tcW w:type="dxa" w:w="2200"/>
            <w:vAlign w:val="center"/>
            <w:shd w:fill="FFF2CC"/>
          </w:tcPr>
          <w:p>
            <w:pPr>
              <w:spacing w:before="0" w:after="30" w:line="240" w:lineRule="auto"/>
            </w:pPr>
            <w:r>
              <w:rPr>
                <w:rFonts w:ascii="Arial" w:hAnsi="Arial"/>
                <w:b w:val="0"/>
                <w:color w:val="2D3741"/>
                <w:sz w:val="16"/>
              </w:rPr>
              <w:t>[NAME / ROLE]</w:t>
            </w:r>
          </w:p>
        </w:tc>
      </w:tr>
      <w:tr>
        <w:trPr>
          <w:cantSplit/>
        </w:trPr>
        <w:tc>
          <w:tcPr>
            <w:tcW w:type="dxa" w:w="1700"/>
            <w:vAlign w:val="center"/>
            <w:shd w:fill="FFF2CC"/>
          </w:tcPr>
          <w:p>
            <w:pPr>
              <w:spacing w:before="0" w:after="30" w:line="240" w:lineRule="auto"/>
            </w:pPr>
            <w:r>
              <w:rPr>
                <w:rFonts w:ascii="Arial" w:hAnsi="Arial"/>
                <w:b w:val="0"/>
                <w:color w:val="2D3741"/>
                <w:sz w:val="16"/>
              </w:rPr>
              <w:t>[DATE / TIME]</w:t>
            </w:r>
          </w:p>
        </w:tc>
        <w:tc>
          <w:tcPr>
            <w:tcW w:type="dxa" w:w="3000"/>
            <w:vAlign w:val="center"/>
            <w:shd w:fill="FFF2CC"/>
          </w:tcPr>
          <w:p>
            <w:pPr>
              <w:spacing w:before="0" w:after="30" w:line="240" w:lineRule="auto"/>
            </w:pPr>
            <w:r>
              <w:rPr>
                <w:rFonts w:ascii="Arial" w:hAnsi="Arial"/>
                <w:b w:val="0"/>
                <w:color w:val="2D3741"/>
                <w:sz w:val="16"/>
              </w:rPr>
              <w:t>[COMPLETE]</w:t>
            </w:r>
          </w:p>
        </w:tc>
        <w:tc>
          <w:tcPr>
            <w:tcW w:type="dxa" w:w="2978"/>
            <w:vAlign w:val="center"/>
            <w:shd w:fill="FFF2CC"/>
          </w:tcPr>
          <w:p>
            <w:pPr>
              <w:spacing w:before="0" w:after="30" w:line="240" w:lineRule="auto"/>
            </w:pPr>
            <w:r>
              <w:rPr>
                <w:rFonts w:ascii="Arial" w:hAnsi="Arial"/>
                <w:b w:val="0"/>
                <w:color w:val="2D3741"/>
                <w:sz w:val="16"/>
              </w:rPr>
              <w:t>[MAJOR / NOT MAJOR / TBC]</w:t>
            </w:r>
          </w:p>
        </w:tc>
        <w:tc>
          <w:tcPr>
            <w:tcW w:type="dxa" w:w="2200"/>
            <w:vAlign w:val="center"/>
            <w:shd w:fill="FFF2CC"/>
          </w:tcPr>
          <w:p>
            <w:pPr>
              <w:spacing w:before="0" w:after="30" w:line="240" w:lineRule="auto"/>
            </w:pPr>
            <w:r>
              <w:rPr>
                <w:rFonts w:ascii="Arial" w:hAnsi="Arial"/>
                <w:b w:val="0"/>
                <w:color w:val="2D3741"/>
                <w:sz w:val="16"/>
              </w:rPr>
              <w:t>[NAME / ROLE]</w:t>
            </w:r>
          </w:p>
        </w:tc>
      </w:tr>
      <w:tr>
        <w:trPr>
          <w:cantSplit/>
        </w:trPr>
        <w:tc>
          <w:tcPr>
            <w:tcW w:type="dxa" w:w="1700"/>
            <w:vAlign w:val="center"/>
            <w:shd w:fill="FFF2CC"/>
          </w:tcPr>
          <w:p>
            <w:pPr>
              <w:spacing w:before="0" w:after="30" w:line="240" w:lineRule="auto"/>
            </w:pPr>
            <w:r>
              <w:rPr>
                <w:rFonts w:ascii="Arial" w:hAnsi="Arial"/>
                <w:b w:val="0"/>
                <w:color w:val="2D3741"/>
                <w:sz w:val="16"/>
              </w:rPr>
              <w:t>[DATE / TIME]</w:t>
            </w:r>
          </w:p>
        </w:tc>
        <w:tc>
          <w:tcPr>
            <w:tcW w:type="dxa" w:w="3000"/>
            <w:vAlign w:val="center"/>
            <w:shd w:fill="FFF2CC"/>
          </w:tcPr>
          <w:p>
            <w:pPr>
              <w:spacing w:before="0" w:after="30" w:line="240" w:lineRule="auto"/>
            </w:pPr>
            <w:r>
              <w:rPr>
                <w:rFonts w:ascii="Arial" w:hAnsi="Arial"/>
                <w:b w:val="0"/>
                <w:color w:val="2D3741"/>
                <w:sz w:val="16"/>
              </w:rPr>
              <w:t>[COMPLETE]</w:t>
            </w:r>
          </w:p>
        </w:tc>
        <w:tc>
          <w:tcPr>
            <w:tcW w:type="dxa" w:w="2978"/>
            <w:vAlign w:val="center"/>
            <w:shd w:fill="FFF2CC"/>
          </w:tcPr>
          <w:p>
            <w:pPr>
              <w:spacing w:before="0" w:after="30" w:line="240" w:lineRule="auto"/>
            </w:pPr>
            <w:r>
              <w:rPr>
                <w:rFonts w:ascii="Arial" w:hAnsi="Arial"/>
                <w:b w:val="0"/>
                <w:color w:val="2D3741"/>
                <w:sz w:val="16"/>
              </w:rPr>
              <w:t>[MAJOR / NOT MAJOR / TBC]</w:t>
            </w:r>
          </w:p>
        </w:tc>
        <w:tc>
          <w:tcPr>
            <w:tcW w:type="dxa" w:w="2200"/>
            <w:vAlign w:val="center"/>
            <w:shd w:fill="FFF2CC"/>
          </w:tcPr>
          <w:p>
            <w:pPr>
              <w:spacing w:before="0" w:after="30" w:line="240" w:lineRule="auto"/>
            </w:pPr>
            <w:r>
              <w:rPr>
                <w:rFonts w:ascii="Arial" w:hAnsi="Arial"/>
                <w:b w:val="0"/>
                <w:color w:val="2D3741"/>
                <w:sz w:val="16"/>
              </w:rPr>
              <w:t>[NAME / ROLE]</w:t>
            </w:r>
          </w:p>
        </w:tc>
      </w:tr>
    </w:tbl>
    <w:p>
      <w:pPr>
        <w:spacing w:after="20"/>
      </w:pPr>
    </w:p>
    <w:p>
      <w:pPr>
        <w:pStyle w:val="Heading2"/>
        <w:keepNext/>
      </w:pPr>
      <w:r>
        <w:t>A8. Non-reportable decision record</w:t>
      </w:r>
    </w:p>
    <w:tbl>
      <w:tblPr>
        <w:tblStyle w:val="TableGrid"/>
        <w:tblW w:type="dxa" w:w="9878"/>
        <w:tblLayout w:type="fixed"/>
        <w:tblLook w:firstColumn="1" w:firstRow="1" w:lastColumn="0" w:lastRow="0" w:noHBand="0" w:noVBand="1" w:val="04A0"/>
        <w:tblInd w:w="90" w:type="dxa"/>
      </w:tblPr>
      <w:tblGrid>
        <w:gridCol w:w="4000"/>
        <w:gridCol w:w="5878"/>
      </w:tblGrid>
      <w:tr>
        <w:trPr>
          <w:tblHeader w:val="true"/>
          <w:cantSplit/>
          <w:tblHeader w:val="true"/>
        </w:trPr>
        <w:tc>
          <w:tcPr>
            <w:tcW w:type="dxa" w:w="40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Required conclusion</w:t>
            </w:r>
          </w:p>
        </w:tc>
        <w:tc>
          <w:tcPr>
            <w:tcW w:type="dxa" w:w="5878"/>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Entry</w:t>
            </w:r>
          </w:p>
        </w:tc>
      </w:tr>
      <w:tr>
        <w:trPr>
          <w:cantSplit/>
        </w:trPr>
        <w:tc>
          <w:tcPr>
            <w:tcW w:type="dxa" w:w="4000"/>
            <w:vAlign w:val="center"/>
          </w:tcPr>
          <w:p>
            <w:pPr>
              <w:spacing w:before="0" w:after="30" w:line="240" w:lineRule="auto"/>
            </w:pPr>
            <w:r>
              <w:rPr>
                <w:rFonts w:ascii="Arial" w:hAnsi="Arial"/>
                <w:b w:val="0"/>
                <w:color w:val="2D3741"/>
                <w:sz w:val="16"/>
              </w:rPr>
              <w:t>Reason the incident is not major at the decision time</w:t>
            </w:r>
          </w:p>
        </w:tc>
        <w:tc>
          <w:tcPr>
            <w:tcW w:type="dxa" w:w="5878"/>
            <w:vAlign w:val="center"/>
            <w:shd w:fill="FFF2CC"/>
          </w:tcPr>
          <w:p>
            <w:pPr>
              <w:spacing w:before="0" w:after="30" w:line="240" w:lineRule="auto"/>
            </w:pPr>
            <w:r>
              <w:rPr>
                <w:rFonts w:ascii="Arial" w:hAnsi="Arial"/>
                <w:b w:val="0"/>
                <w:color w:val="2D3741"/>
                <w:sz w:val="16"/>
              </w:rPr>
              <w:t>[COMPLETE — identify unmet gate/thresholds]</w:t>
            </w:r>
          </w:p>
        </w:tc>
      </w:tr>
      <w:tr>
        <w:trPr>
          <w:cantSplit/>
        </w:trPr>
        <w:tc>
          <w:tcPr>
            <w:tcW w:type="dxa" w:w="4000"/>
            <w:vAlign w:val="center"/>
          </w:tcPr>
          <w:p>
            <w:pPr>
              <w:spacing w:before="0" w:after="30" w:line="240" w:lineRule="auto"/>
            </w:pPr>
            <w:r>
              <w:rPr>
                <w:rFonts w:ascii="Arial" w:hAnsi="Arial"/>
                <w:b w:val="0"/>
                <w:color w:val="2D3741"/>
                <w:sz w:val="16"/>
              </w:rPr>
              <w:t>Facts that remain uncertain and how they will be obtained</w:t>
            </w:r>
          </w:p>
        </w:tc>
        <w:tc>
          <w:tcPr>
            <w:tcW w:type="dxa" w:w="5878"/>
            <w:vAlign w:val="center"/>
            <w:shd w:fill="FFF2CC"/>
          </w:tcPr>
          <w:p>
            <w:pPr>
              <w:spacing w:before="0" w:after="30" w:line="240" w:lineRule="auto"/>
            </w:pPr>
            <w:r>
              <w:rPr>
                <w:rFonts w:ascii="Arial" w:hAnsi="Arial"/>
                <w:b w:val="0"/>
                <w:color w:val="2D3741"/>
                <w:sz w:val="16"/>
              </w:rPr>
              <w:t>[COMPLETE]</w:t>
            </w:r>
          </w:p>
        </w:tc>
      </w:tr>
      <w:tr>
        <w:trPr>
          <w:cantSplit/>
        </w:trPr>
        <w:tc>
          <w:tcPr>
            <w:tcW w:type="dxa" w:w="4000"/>
            <w:vAlign w:val="center"/>
          </w:tcPr>
          <w:p>
            <w:pPr>
              <w:spacing w:before="0" w:after="30" w:line="240" w:lineRule="auto"/>
            </w:pPr>
            <w:r>
              <w:rPr>
                <w:rFonts w:ascii="Arial" w:hAnsi="Arial"/>
                <w:b w:val="0"/>
                <w:color w:val="2D3741"/>
                <w:sz w:val="16"/>
              </w:rPr>
              <w:t>Reassessment trigger and deadline</w:t>
            </w:r>
          </w:p>
        </w:tc>
        <w:tc>
          <w:tcPr>
            <w:tcW w:type="dxa" w:w="5878"/>
            <w:vAlign w:val="center"/>
            <w:shd w:fill="FFF2CC"/>
          </w:tcPr>
          <w:p>
            <w:pPr>
              <w:spacing w:before="0" w:after="30" w:line="240" w:lineRule="auto"/>
            </w:pPr>
            <w:r>
              <w:rPr>
                <w:rFonts w:ascii="Arial" w:hAnsi="Arial"/>
                <w:b w:val="0"/>
                <w:color w:val="2D3741"/>
                <w:sz w:val="16"/>
              </w:rPr>
              <w:t>[COMPLETE]</w:t>
            </w:r>
          </w:p>
        </w:tc>
      </w:tr>
      <w:tr>
        <w:trPr>
          <w:cantSplit/>
        </w:trPr>
        <w:tc>
          <w:tcPr>
            <w:tcW w:type="dxa" w:w="4000"/>
            <w:vAlign w:val="center"/>
          </w:tcPr>
          <w:p>
            <w:pPr>
              <w:spacing w:before="0" w:after="30" w:line="240" w:lineRule="auto"/>
            </w:pPr>
            <w:r>
              <w:rPr>
                <w:rFonts w:ascii="Arial" w:hAnsi="Arial"/>
                <w:b w:val="0"/>
                <w:color w:val="2D3741"/>
                <w:sz w:val="16"/>
              </w:rPr>
              <w:t>Approver and decision time</w:t>
            </w:r>
          </w:p>
        </w:tc>
        <w:tc>
          <w:tcPr>
            <w:tcW w:type="dxa" w:w="5878"/>
            <w:vAlign w:val="center"/>
            <w:shd w:fill="FFF2CC"/>
          </w:tcPr>
          <w:p>
            <w:pPr>
              <w:spacing w:before="0" w:after="30" w:line="240" w:lineRule="auto"/>
            </w:pPr>
            <w:r>
              <w:rPr>
                <w:rFonts w:ascii="Arial" w:hAnsi="Arial"/>
                <w:b w:val="0"/>
                <w:color w:val="2D3741"/>
                <w:sz w:val="16"/>
              </w:rPr>
              <w:t>[COMPLETE]</w:t>
            </w:r>
          </w:p>
        </w:tc>
      </w:tr>
      <w:tr>
        <w:trPr>
          <w:cantSplit/>
        </w:trPr>
        <w:tc>
          <w:tcPr>
            <w:tcW w:type="dxa" w:w="4000"/>
            <w:vAlign w:val="center"/>
          </w:tcPr>
          <w:p>
            <w:pPr>
              <w:spacing w:before="0" w:after="30" w:line="240" w:lineRule="auto"/>
            </w:pPr>
            <w:r>
              <w:rPr>
                <w:rFonts w:ascii="Arial" w:hAnsi="Arial"/>
                <w:b w:val="0"/>
                <w:color w:val="2D3741"/>
                <w:sz w:val="16"/>
              </w:rPr>
              <w:t>D07 record and evidence references</w:t>
            </w:r>
          </w:p>
        </w:tc>
        <w:tc>
          <w:tcPr>
            <w:tcW w:type="dxa" w:w="5878"/>
            <w:vAlign w:val="center"/>
            <w:shd w:fill="FFF2CC"/>
          </w:tcPr>
          <w:p>
            <w:pPr>
              <w:spacing w:before="0" w:after="30" w:line="240" w:lineRule="auto"/>
            </w:pPr>
            <w:r>
              <w:rPr>
                <w:rFonts w:ascii="Arial" w:hAnsi="Arial"/>
                <w:b w:val="0"/>
                <w:color w:val="2D3741"/>
                <w:sz w:val="16"/>
              </w:rPr>
              <w:t>[COMPLETE]</w:t>
            </w:r>
          </w:p>
        </w:tc>
      </w:tr>
    </w:tbl>
    <w:p>
      <w:pPr>
        <w:spacing w:after="20"/>
      </w:pPr>
    </w:p>
    <w:p>
      <w:r>
        <w:br w:type="page"/>
      </w:r>
    </w:p>
    <w:p>
      <w:pPr>
        <w:pStyle w:val="Heading1"/>
        <w:keepNext/>
      </w:pPr>
      <w:r>
        <w:t>Annex B — Regulatory Reporting Pack and Submission Runbook</w:t>
      </w:r>
    </w:p>
    <w:tbl>
      <w:tblPr>
        <w:tblW w:type="dxa" w:w="9878"/>
        <w:tblLayout w:type="fixed"/>
        <w:tblLook w:firstColumn="1" w:firstRow="1" w:lastColumn="0" w:lastRow="0" w:noHBand="0" w:noVBand="1" w:val="04A0"/>
        <w:tblInd w:w="90" w:type="dxa"/>
      </w:tblPr>
      <w:tblGrid>
        <w:gridCol w:w="1500"/>
        <w:gridCol w:w="8378"/>
      </w:tblGrid>
      <w:tr>
        <w:trPr>
          <w:cantSplit/>
          <w:tblHeader w:val="true"/>
        </w:trPr>
        <w:tc>
          <w:tcPr>
            <w:tcW w:type="dxa" w:w="15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MANDATORY</w:t>
            </w:r>
          </w:p>
        </w:tc>
        <w:tc>
          <w:tcPr>
            <w:tcW w:type="dxa" w:w="8378"/>
            <w:tcMar>
              <w:top w:w="70" w:type="dxa"/>
              <w:start w:w="90" w:type="dxa"/>
              <w:bottom w:w="70" w:type="dxa"/>
              <w:end w:w="90" w:type="dxa"/>
            </w:tcMar>
            <w:vAlign w:val="center"/>
            <w:shd w:fill="D9EAF2"/>
          </w:tcPr>
          <w:p>
            <w:pPr>
              <w:spacing w:before="0" w:after="30" w:line="240" w:lineRule="auto"/>
            </w:pPr>
            <w:r>
              <w:rPr>
                <w:rFonts w:ascii="Arial" w:hAnsi="Arial"/>
                <w:b w:val="0"/>
                <w:color w:val="2D3741"/>
                <w:sz w:val="16"/>
              </w:rPr>
              <w:t>Use this annex to prepare, review, approve, submit and evidence DORA reports. The current Central Bank template and portal instructions control the actual filing; reconcile every entry to them before submission.</w:t>
            </w:r>
          </w:p>
        </w:tc>
      </w:tr>
    </w:tbl>
    <w:p>
      <w:pPr>
        <w:spacing w:after="40"/>
      </w:pPr>
    </w:p>
    <w:p>
      <w:pPr>
        <w:pStyle w:val="Heading2"/>
        <w:keepNext/>
      </w:pPr>
      <w:r>
        <w:t>B1. Regulatory clock and report control</w:t>
      </w:r>
    </w:p>
    <w:tbl>
      <w:tblPr>
        <w:tblStyle w:val="TableGrid"/>
        <w:tblW w:type="dxa" w:w="9878"/>
        <w:tblLayout w:type="fixed"/>
        <w:tblLook w:firstColumn="1" w:firstRow="1" w:lastColumn="0" w:lastRow="0" w:noHBand="0" w:noVBand="1" w:val="04A0"/>
        <w:tblInd w:w="90" w:type="dxa"/>
      </w:tblPr>
      <w:tblGrid>
        <w:gridCol w:w="2200"/>
        <w:gridCol w:w="5400"/>
        <w:gridCol w:w="2278"/>
      </w:tblGrid>
      <w:tr>
        <w:trPr>
          <w:tblHeader w:val="true"/>
          <w:cantSplit/>
          <w:tblHeader w:val="true"/>
        </w:trPr>
        <w:tc>
          <w:tcPr>
            <w:tcW w:type="dxa" w:w="22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Control point</w:t>
            </w:r>
          </w:p>
        </w:tc>
        <w:tc>
          <w:tcPr>
            <w:tcW w:type="dxa" w:w="54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Rule</w:t>
            </w:r>
          </w:p>
        </w:tc>
        <w:tc>
          <w:tcPr>
            <w:tcW w:type="dxa" w:w="2278"/>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Controlled entry</w:t>
            </w:r>
          </w:p>
        </w:tc>
      </w:tr>
      <w:tr>
        <w:trPr>
          <w:cantSplit/>
        </w:trPr>
        <w:tc>
          <w:tcPr>
            <w:tcW w:type="dxa" w:w="2200"/>
            <w:vAlign w:val="center"/>
          </w:tcPr>
          <w:p>
            <w:pPr>
              <w:spacing w:before="0" w:after="30" w:line="240" w:lineRule="auto"/>
            </w:pPr>
            <w:r>
              <w:rPr>
                <w:rFonts w:ascii="Arial" w:hAnsi="Arial"/>
                <w:b w:val="0"/>
                <w:color w:val="2D3741"/>
                <w:sz w:val="16"/>
              </w:rPr>
              <w:t>Awareness time</w:t>
            </w:r>
          </w:p>
        </w:tc>
        <w:tc>
          <w:tcPr>
            <w:tcW w:type="dxa" w:w="5400"/>
            <w:vAlign w:val="center"/>
          </w:tcPr>
          <w:p>
            <w:pPr>
              <w:spacing w:before="0" w:after="30" w:line="240" w:lineRule="auto"/>
            </w:pPr>
            <w:r>
              <w:rPr>
                <w:rFonts w:ascii="Arial" w:hAnsi="Arial"/>
                <w:b w:val="0"/>
                <w:color w:val="2D3741"/>
                <w:sz w:val="16"/>
              </w:rPr>
              <w:t>Record when the firm became aware of the ICT-related incident.</w:t>
            </w:r>
          </w:p>
        </w:tc>
        <w:tc>
          <w:tcPr>
            <w:tcW w:type="dxa" w:w="2278"/>
            <w:vAlign w:val="center"/>
            <w:shd w:fill="FFF2CC"/>
          </w:tcPr>
          <w:p>
            <w:pPr>
              <w:spacing w:before="0" w:after="30" w:line="240" w:lineRule="auto"/>
            </w:pPr>
            <w:r>
              <w:rPr>
                <w:rFonts w:ascii="Arial" w:hAnsi="Arial"/>
                <w:b w:val="0"/>
                <w:color w:val="2D3741"/>
                <w:sz w:val="16"/>
              </w:rPr>
              <w:t>[DATE / TIME / TIME ZONE]</w:t>
            </w:r>
          </w:p>
        </w:tc>
      </w:tr>
      <w:tr>
        <w:trPr>
          <w:cantSplit/>
        </w:trPr>
        <w:tc>
          <w:tcPr>
            <w:tcW w:type="dxa" w:w="2200"/>
            <w:vAlign w:val="center"/>
          </w:tcPr>
          <w:p>
            <w:pPr>
              <w:spacing w:before="0" w:after="30" w:line="240" w:lineRule="auto"/>
            </w:pPr>
            <w:r>
              <w:rPr>
                <w:rFonts w:ascii="Arial" w:hAnsi="Arial"/>
                <w:b w:val="0"/>
                <w:color w:val="2D3741"/>
                <w:sz w:val="16"/>
              </w:rPr>
              <w:t>Major-classification time</w:t>
            </w:r>
          </w:p>
        </w:tc>
        <w:tc>
          <w:tcPr>
            <w:tcW w:type="dxa" w:w="5400"/>
            <w:vAlign w:val="center"/>
          </w:tcPr>
          <w:p>
            <w:pPr>
              <w:spacing w:before="0" w:after="30" w:line="240" w:lineRule="auto"/>
            </w:pPr>
            <w:r>
              <w:rPr>
                <w:rFonts w:ascii="Arial" w:hAnsi="Arial"/>
                <w:b w:val="0"/>
                <w:color w:val="2D3741"/>
                <w:sz w:val="16"/>
              </w:rPr>
              <w:t>Record when the incident was classified as major.</w:t>
            </w:r>
          </w:p>
        </w:tc>
        <w:tc>
          <w:tcPr>
            <w:tcW w:type="dxa" w:w="2278"/>
            <w:vAlign w:val="center"/>
            <w:shd w:fill="FFF2CC"/>
          </w:tcPr>
          <w:p>
            <w:pPr>
              <w:spacing w:before="0" w:after="30" w:line="240" w:lineRule="auto"/>
            </w:pPr>
            <w:r>
              <w:rPr>
                <w:rFonts w:ascii="Arial" w:hAnsi="Arial"/>
                <w:b w:val="0"/>
                <w:color w:val="2D3741"/>
                <w:sz w:val="16"/>
              </w:rPr>
              <w:t>[DATE / TIME / APPROVER]</w:t>
            </w:r>
          </w:p>
        </w:tc>
      </w:tr>
      <w:tr>
        <w:trPr>
          <w:cantSplit/>
        </w:trPr>
        <w:tc>
          <w:tcPr>
            <w:tcW w:type="dxa" w:w="2200"/>
            <w:vAlign w:val="center"/>
          </w:tcPr>
          <w:p>
            <w:pPr>
              <w:spacing w:before="0" w:after="30" w:line="240" w:lineRule="auto"/>
            </w:pPr>
            <w:r>
              <w:rPr>
                <w:rFonts w:ascii="Arial" w:hAnsi="Arial"/>
                <w:b w:val="0"/>
                <w:color w:val="2D3741"/>
                <w:sz w:val="16"/>
              </w:rPr>
              <w:t>Initial notification</w:t>
            </w:r>
          </w:p>
        </w:tc>
        <w:tc>
          <w:tcPr>
            <w:tcW w:type="dxa" w:w="5400"/>
            <w:vAlign w:val="center"/>
          </w:tcPr>
          <w:p>
            <w:pPr>
              <w:spacing w:before="0" w:after="30" w:line="240" w:lineRule="auto"/>
            </w:pPr>
            <w:r>
              <w:rPr>
                <w:rFonts w:ascii="Arial" w:hAnsi="Arial"/>
                <w:b w:val="0"/>
                <w:color w:val="2D3741"/>
                <w:sz w:val="16"/>
              </w:rPr>
              <w:t>As early as possible; within 4 hours of major classification and no later than 24 hours from awareness. If classification occurs after 24 hours, submit within 4 hours of classification.</w:t>
            </w:r>
          </w:p>
        </w:tc>
        <w:tc>
          <w:tcPr>
            <w:tcW w:type="dxa" w:w="2278"/>
            <w:vAlign w:val="center"/>
            <w:shd w:fill="FFF2CC"/>
          </w:tcPr>
          <w:p>
            <w:pPr>
              <w:spacing w:before="0" w:after="30" w:line="240" w:lineRule="auto"/>
            </w:pPr>
            <w:r>
              <w:rPr>
                <w:rFonts w:ascii="Arial" w:hAnsi="Arial"/>
                <w:b w:val="0"/>
                <w:color w:val="2D3741"/>
                <w:sz w:val="16"/>
              </w:rPr>
              <w:t>[DEADLINE / SUBMISSION TIME]</w:t>
            </w:r>
          </w:p>
        </w:tc>
      </w:tr>
      <w:tr>
        <w:trPr>
          <w:cantSplit/>
        </w:trPr>
        <w:tc>
          <w:tcPr>
            <w:tcW w:type="dxa" w:w="2200"/>
            <w:vAlign w:val="center"/>
          </w:tcPr>
          <w:p>
            <w:pPr>
              <w:spacing w:before="0" w:after="30" w:line="240" w:lineRule="auto"/>
            </w:pPr>
            <w:r>
              <w:rPr>
                <w:rFonts w:ascii="Arial" w:hAnsi="Arial"/>
                <w:b w:val="0"/>
                <w:color w:val="2D3741"/>
                <w:sz w:val="16"/>
              </w:rPr>
              <w:t>Intermediate report</w:t>
            </w:r>
          </w:p>
        </w:tc>
        <w:tc>
          <w:tcPr>
            <w:tcW w:type="dxa" w:w="5400"/>
            <w:vAlign w:val="center"/>
          </w:tcPr>
          <w:p>
            <w:pPr>
              <w:spacing w:before="0" w:after="30" w:line="240" w:lineRule="auto"/>
            </w:pPr>
            <w:r>
              <w:rPr>
                <w:rFonts w:ascii="Arial" w:hAnsi="Arial"/>
                <w:b w:val="0"/>
                <w:color w:val="2D3741"/>
                <w:sz w:val="16"/>
              </w:rPr>
              <w:t>No later than 72 hours after the initial notification, even if status is unchanged; update without undue delay and when regular activities recover.</w:t>
            </w:r>
          </w:p>
        </w:tc>
        <w:tc>
          <w:tcPr>
            <w:tcW w:type="dxa" w:w="2278"/>
            <w:vAlign w:val="center"/>
            <w:shd w:fill="FFF2CC"/>
          </w:tcPr>
          <w:p>
            <w:pPr>
              <w:spacing w:before="0" w:after="30" w:line="240" w:lineRule="auto"/>
            </w:pPr>
            <w:r>
              <w:rPr>
                <w:rFonts w:ascii="Arial" w:hAnsi="Arial"/>
                <w:b w:val="0"/>
                <w:color w:val="2D3741"/>
                <w:sz w:val="16"/>
              </w:rPr>
              <w:t>[DEADLINE / SUBMISSION TIME]</w:t>
            </w:r>
          </w:p>
        </w:tc>
      </w:tr>
      <w:tr>
        <w:trPr>
          <w:cantSplit/>
        </w:trPr>
        <w:tc>
          <w:tcPr>
            <w:tcW w:type="dxa" w:w="2200"/>
            <w:vAlign w:val="center"/>
          </w:tcPr>
          <w:p>
            <w:pPr>
              <w:spacing w:before="0" w:after="30" w:line="240" w:lineRule="auto"/>
            </w:pPr>
            <w:r>
              <w:rPr>
                <w:rFonts w:ascii="Arial" w:hAnsi="Arial"/>
                <w:b w:val="0"/>
                <w:color w:val="2D3741"/>
                <w:sz w:val="16"/>
              </w:rPr>
              <w:t>Final report</w:t>
            </w:r>
          </w:p>
        </w:tc>
        <w:tc>
          <w:tcPr>
            <w:tcW w:type="dxa" w:w="5400"/>
            <w:vAlign w:val="center"/>
          </w:tcPr>
          <w:p>
            <w:pPr>
              <w:spacing w:before="0" w:after="30" w:line="240" w:lineRule="auto"/>
            </w:pPr>
            <w:r>
              <w:rPr>
                <w:rFonts w:ascii="Arial" w:hAnsi="Arial"/>
                <w:b w:val="0"/>
                <w:color w:val="2D3741"/>
                <w:sz w:val="16"/>
              </w:rPr>
              <w:t>No later than one month after the intermediate or latest updated intermediate report.</w:t>
            </w:r>
          </w:p>
        </w:tc>
        <w:tc>
          <w:tcPr>
            <w:tcW w:type="dxa" w:w="2278"/>
            <w:vAlign w:val="center"/>
            <w:shd w:fill="FFF2CC"/>
          </w:tcPr>
          <w:p>
            <w:pPr>
              <w:spacing w:before="0" w:after="30" w:line="240" w:lineRule="auto"/>
            </w:pPr>
            <w:r>
              <w:rPr>
                <w:rFonts w:ascii="Arial" w:hAnsi="Arial"/>
                <w:b w:val="0"/>
                <w:color w:val="2D3741"/>
                <w:sz w:val="16"/>
              </w:rPr>
              <w:t>[DEADLINE / SUBMISSION TIME]</w:t>
            </w:r>
          </w:p>
        </w:tc>
      </w:tr>
      <w:tr>
        <w:trPr>
          <w:cantSplit/>
        </w:trPr>
        <w:tc>
          <w:tcPr>
            <w:tcW w:type="dxa" w:w="2200"/>
            <w:vAlign w:val="center"/>
          </w:tcPr>
          <w:p>
            <w:pPr>
              <w:spacing w:before="0" w:after="30" w:line="240" w:lineRule="auto"/>
            </w:pPr>
            <w:r>
              <w:rPr>
                <w:rFonts w:ascii="Arial" w:hAnsi="Arial"/>
                <w:b w:val="0"/>
                <w:color w:val="2D3741"/>
                <w:sz w:val="16"/>
              </w:rPr>
              <w:t>Delay notice</w:t>
            </w:r>
          </w:p>
        </w:tc>
        <w:tc>
          <w:tcPr>
            <w:tcW w:type="dxa" w:w="5400"/>
            <w:vAlign w:val="center"/>
          </w:tcPr>
          <w:p>
            <w:pPr>
              <w:spacing w:before="0" w:after="30" w:line="240" w:lineRule="auto"/>
            </w:pPr>
            <w:r>
              <w:rPr>
                <w:rFonts w:ascii="Arial" w:hAnsi="Arial"/>
                <w:b w:val="0"/>
                <w:color w:val="2D3741"/>
                <w:sz w:val="16"/>
              </w:rPr>
              <w:t>If unable to meet a deadline, inform the authority without undue delay and no later than the missed deadline, with reasons.</w:t>
            </w:r>
          </w:p>
        </w:tc>
        <w:tc>
          <w:tcPr>
            <w:tcW w:type="dxa" w:w="2278"/>
            <w:vAlign w:val="center"/>
            <w:shd w:fill="FFF2CC"/>
          </w:tcPr>
          <w:p>
            <w:pPr>
              <w:spacing w:before="0" w:after="30" w:line="240" w:lineRule="auto"/>
            </w:pPr>
            <w:r>
              <w:rPr>
                <w:rFonts w:ascii="Arial" w:hAnsi="Arial"/>
                <w:b w:val="0"/>
                <w:color w:val="2D3741"/>
                <w:sz w:val="16"/>
              </w:rPr>
              <w:t>[DECISION / NOTICE TIME / REFERENCE]</w:t>
            </w:r>
          </w:p>
        </w:tc>
      </w:tr>
      <w:tr>
        <w:trPr>
          <w:cantSplit/>
        </w:trPr>
        <w:tc>
          <w:tcPr>
            <w:tcW w:type="dxa" w:w="2200"/>
            <w:vAlign w:val="center"/>
          </w:tcPr>
          <w:p>
            <w:pPr>
              <w:spacing w:before="0" w:after="30" w:line="240" w:lineRule="auto"/>
            </w:pPr>
            <w:r>
              <w:rPr>
                <w:rFonts w:ascii="Arial" w:hAnsi="Arial"/>
                <w:b w:val="0"/>
                <w:color w:val="2D3741"/>
                <w:sz w:val="16"/>
              </w:rPr>
              <w:t>Weekend / bank holiday</w:t>
            </w:r>
          </w:p>
        </w:tc>
        <w:tc>
          <w:tcPr>
            <w:tcW w:type="dxa" w:w="5400"/>
            <w:vAlign w:val="center"/>
          </w:tcPr>
          <w:p>
            <w:pPr>
              <w:spacing w:before="0" w:after="30" w:line="240" w:lineRule="auto"/>
            </w:pPr>
            <w:r>
              <w:rPr>
                <w:rFonts w:ascii="Arial" w:hAnsi="Arial"/>
                <w:b w:val="0"/>
                <w:color w:val="2D3741"/>
                <w:sz w:val="16"/>
              </w:rPr>
              <w:t>Apply RTS 2025/301 Article 5(4)–(6) only after compliance confirms that relief is available and has not been disapplied.</w:t>
            </w:r>
          </w:p>
        </w:tc>
        <w:tc>
          <w:tcPr>
            <w:tcW w:type="dxa" w:w="2278"/>
            <w:vAlign w:val="center"/>
            <w:shd w:fill="FFF2CC"/>
          </w:tcPr>
          <w:p>
            <w:pPr>
              <w:spacing w:before="0" w:after="30" w:line="240" w:lineRule="auto"/>
            </w:pPr>
            <w:r>
              <w:rPr>
                <w:rFonts w:ascii="Arial" w:hAnsi="Arial"/>
                <w:b w:val="0"/>
                <w:color w:val="2D3741"/>
                <w:sz w:val="16"/>
              </w:rPr>
              <w:t>[CONFIRMATION / ADJUSTED DEADLINE]</w:t>
            </w:r>
          </w:p>
        </w:tc>
      </w:tr>
    </w:tbl>
    <w:p>
      <w:pPr>
        <w:spacing w:after="20"/>
      </w:pPr>
    </w:p>
    <w:p>
      <w:pPr>
        <w:pStyle w:val="Heading2"/>
        <w:keepNext/>
      </w:pPr>
      <w:r>
        <w:t>B2. Submission control sheet</w:t>
      </w:r>
    </w:p>
    <w:tbl>
      <w:tblPr>
        <w:tblStyle w:val="TableGrid"/>
        <w:tblW w:type="dxa" w:w="9878"/>
        <w:tblLayout w:type="fixed"/>
        <w:tblLook w:firstColumn="1" w:firstRow="1" w:lastColumn="0" w:lastRow="0" w:noHBand="0" w:noVBand="1" w:val="04A0"/>
        <w:tblInd w:w="90" w:type="dxa"/>
      </w:tblPr>
      <w:tblGrid>
        <w:gridCol w:w="3600"/>
        <w:gridCol w:w="6278"/>
      </w:tblGrid>
      <w:tr>
        <w:trPr>
          <w:tblHeader w:val="true"/>
          <w:cantSplit/>
          <w:tblHeader w:val="true"/>
        </w:trPr>
        <w:tc>
          <w:tcPr>
            <w:tcW w:type="dxa" w:w="36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Field</w:t>
            </w:r>
          </w:p>
        </w:tc>
        <w:tc>
          <w:tcPr>
            <w:tcW w:type="dxa" w:w="6278"/>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Entry</w:t>
            </w:r>
          </w:p>
        </w:tc>
      </w:tr>
      <w:tr>
        <w:trPr>
          <w:cantSplit/>
        </w:trPr>
        <w:tc>
          <w:tcPr>
            <w:tcW w:type="dxa" w:w="3600"/>
            <w:vAlign w:val="center"/>
          </w:tcPr>
          <w:p>
            <w:pPr>
              <w:spacing w:before="0" w:after="30" w:line="240" w:lineRule="auto"/>
            </w:pPr>
            <w:r>
              <w:rPr>
                <w:rFonts w:ascii="Arial" w:hAnsi="Arial"/>
                <w:b w:val="0"/>
                <w:color w:val="2D3741"/>
                <w:sz w:val="16"/>
              </w:rPr>
              <w:t>D07 incident ID</w:t>
            </w:r>
          </w:p>
        </w:tc>
        <w:tc>
          <w:tcPr>
            <w:tcW w:type="dxa" w:w="6278"/>
            <w:vAlign w:val="center"/>
            <w:shd w:fill="FFF2CC"/>
          </w:tcPr>
          <w:p>
            <w:pPr>
              <w:spacing w:before="0" w:after="30" w:line="240" w:lineRule="auto"/>
            </w:pPr>
            <w:r>
              <w:rPr>
                <w:rFonts w:ascii="Arial" w:hAnsi="Arial"/>
                <w:b w:val="0"/>
                <w:color w:val="2D3741"/>
                <w:sz w:val="16"/>
              </w:rPr>
              <w:t>[COMPLETE]</w:t>
            </w:r>
          </w:p>
        </w:tc>
      </w:tr>
      <w:tr>
        <w:trPr>
          <w:cantSplit/>
        </w:trPr>
        <w:tc>
          <w:tcPr>
            <w:tcW w:type="dxa" w:w="3600"/>
            <w:vAlign w:val="center"/>
          </w:tcPr>
          <w:p>
            <w:pPr>
              <w:spacing w:before="0" w:after="30" w:line="240" w:lineRule="auto"/>
            </w:pPr>
            <w:r>
              <w:rPr>
                <w:rFonts w:ascii="Arial" w:hAnsi="Arial"/>
                <w:b w:val="0"/>
                <w:color w:val="2D3741"/>
                <w:sz w:val="16"/>
              </w:rPr>
              <w:t>Current report type</w:t>
            </w:r>
          </w:p>
        </w:tc>
        <w:tc>
          <w:tcPr>
            <w:tcW w:type="dxa" w:w="6278"/>
            <w:vAlign w:val="center"/>
            <w:shd w:fill="FFF2CC"/>
          </w:tcPr>
          <w:p>
            <w:pPr>
              <w:spacing w:before="0" w:after="30" w:line="240" w:lineRule="auto"/>
            </w:pPr>
            <w:r>
              <w:rPr>
                <w:rFonts w:ascii="Arial" w:hAnsi="Arial"/>
                <w:b w:val="0"/>
                <w:color w:val="2D3741"/>
                <w:sz w:val="16"/>
              </w:rPr>
              <w:t>[INITIAL / INTERMEDIATE / UPDATED INTERMEDIATE / FINAL / CYBER THREAT]</w:t>
            </w:r>
          </w:p>
        </w:tc>
      </w:tr>
      <w:tr>
        <w:trPr>
          <w:cantSplit/>
        </w:trPr>
        <w:tc>
          <w:tcPr>
            <w:tcW w:type="dxa" w:w="3600"/>
            <w:vAlign w:val="center"/>
          </w:tcPr>
          <w:p>
            <w:pPr>
              <w:spacing w:before="0" w:after="30" w:line="240" w:lineRule="auto"/>
            </w:pPr>
            <w:r>
              <w:rPr>
                <w:rFonts w:ascii="Arial" w:hAnsi="Arial"/>
                <w:b w:val="0"/>
                <w:color w:val="2D3741"/>
                <w:sz w:val="16"/>
              </w:rPr>
              <w:t>Firm reference / authority reference</w:t>
            </w:r>
          </w:p>
        </w:tc>
        <w:tc>
          <w:tcPr>
            <w:tcW w:type="dxa" w:w="6278"/>
            <w:vAlign w:val="center"/>
            <w:shd w:fill="FFF2CC"/>
          </w:tcPr>
          <w:p>
            <w:pPr>
              <w:spacing w:before="0" w:after="30" w:line="240" w:lineRule="auto"/>
            </w:pPr>
            <w:r>
              <w:rPr>
                <w:rFonts w:ascii="Arial" w:hAnsi="Arial"/>
                <w:b w:val="0"/>
                <w:color w:val="2D3741"/>
                <w:sz w:val="16"/>
              </w:rPr>
              <w:t>[COMPLETE]</w:t>
            </w:r>
          </w:p>
        </w:tc>
      </w:tr>
      <w:tr>
        <w:trPr>
          <w:cantSplit/>
        </w:trPr>
        <w:tc>
          <w:tcPr>
            <w:tcW w:type="dxa" w:w="3600"/>
            <w:vAlign w:val="center"/>
          </w:tcPr>
          <w:p>
            <w:pPr>
              <w:spacing w:before="0" w:after="30" w:line="240" w:lineRule="auto"/>
            </w:pPr>
            <w:r>
              <w:rPr>
                <w:rFonts w:ascii="Arial" w:hAnsi="Arial"/>
                <w:b w:val="0"/>
                <w:color w:val="2D3741"/>
                <w:sz w:val="16"/>
              </w:rPr>
              <w:t>Current reporting deadline</w:t>
            </w:r>
          </w:p>
        </w:tc>
        <w:tc>
          <w:tcPr>
            <w:tcW w:type="dxa" w:w="6278"/>
            <w:vAlign w:val="center"/>
            <w:shd w:fill="FFF2CC"/>
          </w:tcPr>
          <w:p>
            <w:pPr>
              <w:spacing w:before="0" w:after="30" w:line="240" w:lineRule="auto"/>
            </w:pPr>
            <w:r>
              <w:rPr>
                <w:rFonts w:ascii="Arial" w:hAnsi="Arial"/>
                <w:b w:val="0"/>
                <w:color w:val="2D3741"/>
                <w:sz w:val="16"/>
              </w:rPr>
              <w:t>[DATE / TIME / TIME ZONE]</w:t>
            </w:r>
          </w:p>
        </w:tc>
      </w:tr>
      <w:tr>
        <w:trPr>
          <w:cantSplit/>
        </w:trPr>
        <w:tc>
          <w:tcPr>
            <w:tcW w:type="dxa" w:w="3600"/>
            <w:vAlign w:val="center"/>
          </w:tcPr>
          <w:p>
            <w:pPr>
              <w:spacing w:before="0" w:after="30" w:line="240" w:lineRule="auto"/>
            </w:pPr>
            <w:r>
              <w:rPr>
                <w:rFonts w:ascii="Arial" w:hAnsi="Arial"/>
                <w:b w:val="0"/>
                <w:color w:val="2D3741"/>
                <w:sz w:val="16"/>
              </w:rPr>
              <w:t>Preparer / reviewer / approver / submitter</w:t>
            </w:r>
          </w:p>
        </w:tc>
        <w:tc>
          <w:tcPr>
            <w:tcW w:type="dxa" w:w="6278"/>
            <w:vAlign w:val="center"/>
            <w:shd w:fill="FFF2CC"/>
          </w:tcPr>
          <w:p>
            <w:pPr>
              <w:spacing w:before="0" w:after="30" w:line="240" w:lineRule="auto"/>
            </w:pPr>
            <w:r>
              <w:rPr>
                <w:rFonts w:ascii="Arial" w:hAnsi="Arial"/>
                <w:b w:val="0"/>
                <w:color w:val="2D3741"/>
                <w:sz w:val="16"/>
              </w:rPr>
              <w:t>[NAMES / ROLES]</w:t>
            </w:r>
          </w:p>
        </w:tc>
      </w:tr>
      <w:tr>
        <w:trPr>
          <w:cantSplit/>
        </w:trPr>
        <w:tc>
          <w:tcPr>
            <w:tcW w:type="dxa" w:w="3600"/>
            <w:vAlign w:val="center"/>
          </w:tcPr>
          <w:p>
            <w:pPr>
              <w:spacing w:before="0" w:after="30" w:line="240" w:lineRule="auto"/>
            </w:pPr>
            <w:r>
              <w:rPr>
                <w:rFonts w:ascii="Arial" w:hAnsi="Arial"/>
                <w:b w:val="0"/>
                <w:color w:val="2D3741"/>
                <w:sz w:val="16"/>
              </w:rPr>
              <w:t>Current Central Bank template version</w:t>
            </w:r>
          </w:p>
        </w:tc>
        <w:tc>
          <w:tcPr>
            <w:tcW w:type="dxa" w:w="6278"/>
            <w:vAlign w:val="center"/>
            <w:shd w:fill="FFF2CC"/>
          </w:tcPr>
          <w:p>
            <w:pPr>
              <w:spacing w:before="0" w:after="30" w:line="240" w:lineRule="auto"/>
            </w:pPr>
            <w:r>
              <w:rPr>
                <w:rFonts w:ascii="Arial" w:hAnsi="Arial"/>
                <w:b w:val="0"/>
                <w:color w:val="2D3741"/>
                <w:sz w:val="16"/>
              </w:rPr>
              <w:t>[FILE NAME / VERSION / DOWNLOAD DATE]</w:t>
            </w:r>
          </w:p>
        </w:tc>
      </w:tr>
      <w:tr>
        <w:trPr>
          <w:cantSplit/>
        </w:trPr>
        <w:tc>
          <w:tcPr>
            <w:tcW w:type="dxa" w:w="3600"/>
            <w:vAlign w:val="center"/>
          </w:tcPr>
          <w:p>
            <w:pPr>
              <w:spacing w:before="0" w:after="30" w:line="240" w:lineRule="auto"/>
            </w:pPr>
            <w:r>
              <w:rPr>
                <w:rFonts w:ascii="Arial" w:hAnsi="Arial"/>
                <w:b w:val="0"/>
                <w:color w:val="2D3741"/>
                <w:sz w:val="16"/>
              </w:rPr>
              <w:t>Portal route and authorised user</w:t>
            </w:r>
          </w:p>
        </w:tc>
        <w:tc>
          <w:tcPr>
            <w:tcW w:type="dxa" w:w="6278"/>
            <w:vAlign w:val="center"/>
            <w:shd w:fill="FFF2CC"/>
          </w:tcPr>
          <w:p>
            <w:pPr>
              <w:spacing w:before="0" w:after="30" w:line="240" w:lineRule="auto"/>
            </w:pPr>
            <w:r>
              <w:rPr>
                <w:rFonts w:ascii="Arial" w:hAnsi="Arial"/>
                <w:b w:val="0"/>
                <w:color w:val="2D3741"/>
                <w:sz w:val="16"/>
              </w:rPr>
              <w:t>[COMPLETE]</w:t>
            </w:r>
          </w:p>
        </w:tc>
      </w:tr>
      <w:tr>
        <w:trPr>
          <w:cantSplit/>
        </w:trPr>
        <w:tc>
          <w:tcPr>
            <w:tcW w:type="dxa" w:w="3600"/>
            <w:vAlign w:val="center"/>
          </w:tcPr>
          <w:p>
            <w:pPr>
              <w:spacing w:before="0" w:after="30" w:line="240" w:lineRule="auto"/>
            </w:pPr>
            <w:r>
              <w:rPr>
                <w:rFonts w:ascii="Arial" w:hAnsi="Arial"/>
                <w:b w:val="0"/>
                <w:color w:val="2D3741"/>
                <w:sz w:val="16"/>
              </w:rPr>
              <w:t>Submission result</w:t>
            </w:r>
          </w:p>
        </w:tc>
        <w:tc>
          <w:tcPr>
            <w:tcW w:type="dxa" w:w="6278"/>
            <w:vAlign w:val="center"/>
            <w:shd w:fill="FFF2CC"/>
          </w:tcPr>
          <w:p>
            <w:pPr>
              <w:spacing w:before="0" w:after="30" w:line="240" w:lineRule="auto"/>
            </w:pPr>
            <w:r>
              <w:rPr>
                <w:rFonts w:ascii="Arial" w:hAnsi="Arial"/>
                <w:b w:val="0"/>
                <w:color w:val="2D3741"/>
                <w:sz w:val="16"/>
              </w:rPr>
              <w:t>[SUCCESS / FALLBACK ROUTE / DELAY NOTICE]</w:t>
            </w:r>
          </w:p>
        </w:tc>
      </w:tr>
      <w:tr>
        <w:trPr>
          <w:cantSplit/>
        </w:trPr>
        <w:tc>
          <w:tcPr>
            <w:tcW w:type="dxa" w:w="3600"/>
            <w:vAlign w:val="center"/>
          </w:tcPr>
          <w:p>
            <w:pPr>
              <w:spacing w:before="0" w:after="30" w:line="240" w:lineRule="auto"/>
            </w:pPr>
            <w:r>
              <w:rPr>
                <w:rFonts w:ascii="Arial" w:hAnsi="Arial"/>
                <w:b w:val="0"/>
                <w:color w:val="2D3741"/>
                <w:sz w:val="16"/>
              </w:rPr>
              <w:t>Receipt / acknowledgement reference</w:t>
            </w:r>
          </w:p>
        </w:tc>
        <w:tc>
          <w:tcPr>
            <w:tcW w:type="dxa" w:w="6278"/>
            <w:vAlign w:val="center"/>
            <w:shd w:fill="FFF2CC"/>
          </w:tcPr>
          <w:p>
            <w:pPr>
              <w:spacing w:before="0" w:after="30" w:line="240" w:lineRule="auto"/>
            </w:pPr>
            <w:r>
              <w:rPr>
                <w:rFonts w:ascii="Arial" w:hAnsi="Arial"/>
                <w:b w:val="0"/>
                <w:color w:val="2D3741"/>
                <w:sz w:val="16"/>
              </w:rPr>
              <w:t>[COMPLETE]</w:t>
            </w:r>
          </w:p>
        </w:tc>
      </w:tr>
      <w:tr>
        <w:trPr>
          <w:cantSplit/>
        </w:trPr>
        <w:tc>
          <w:tcPr>
            <w:tcW w:type="dxa" w:w="3600"/>
            <w:vAlign w:val="center"/>
          </w:tcPr>
          <w:p>
            <w:pPr>
              <w:spacing w:before="0" w:after="30" w:line="240" w:lineRule="auto"/>
            </w:pPr>
            <w:r>
              <w:rPr>
                <w:rFonts w:ascii="Arial" w:hAnsi="Arial"/>
                <w:b w:val="0"/>
                <w:color w:val="2D3741"/>
                <w:sz w:val="16"/>
              </w:rPr>
              <w:t>Next report or follow-up due</w:t>
            </w:r>
          </w:p>
        </w:tc>
        <w:tc>
          <w:tcPr>
            <w:tcW w:type="dxa" w:w="6278"/>
            <w:vAlign w:val="center"/>
            <w:shd w:fill="FFF2CC"/>
          </w:tcPr>
          <w:p>
            <w:pPr>
              <w:spacing w:before="0" w:after="30" w:line="240" w:lineRule="auto"/>
            </w:pPr>
            <w:r>
              <w:rPr>
                <w:rFonts w:ascii="Arial" w:hAnsi="Arial"/>
                <w:b w:val="0"/>
                <w:color w:val="2D3741"/>
                <w:sz w:val="16"/>
              </w:rPr>
              <w:t>[DATE / TIME / TRIGGER]</w:t>
            </w:r>
          </w:p>
        </w:tc>
      </w:tr>
    </w:tbl>
    <w:p>
      <w:pPr>
        <w:spacing w:after="20"/>
      </w:pPr>
    </w:p>
    <w:p>
      <w:pPr>
        <w:pStyle w:val="Heading2"/>
        <w:keepNext/>
      </w:pPr>
      <w:r>
        <w:t>B3. General information — all report stages</w:t>
      </w:r>
    </w:p>
    <w:tbl>
      <w:tblPr>
        <w:tblStyle w:val="TableGrid"/>
        <w:tblW w:type="dxa" w:w="9878"/>
        <w:tblLayout w:type="fixed"/>
        <w:tblLook w:firstColumn="1" w:firstRow="1" w:lastColumn="0" w:lastRow="0" w:noHBand="0" w:noVBand="1" w:val="04A0"/>
        <w:tblInd w:w="90" w:type="dxa"/>
      </w:tblPr>
      <w:tblGrid>
        <w:gridCol w:w="900"/>
        <w:gridCol w:w="2100"/>
        <w:gridCol w:w="4000"/>
        <w:gridCol w:w="2878"/>
      </w:tblGrid>
      <w:tr>
        <w:trPr>
          <w:tblHeader w:val="true"/>
          <w:cantSplit/>
          <w:tblHeader w:val="true"/>
        </w:trPr>
        <w:tc>
          <w:tcPr>
            <w:tcW w:type="dxa" w:w="9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ID</w:t>
            </w:r>
          </w:p>
        </w:tc>
        <w:tc>
          <w:tcPr>
            <w:tcW w:type="dxa" w:w="21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Field</w:t>
            </w:r>
          </w:p>
        </w:tc>
        <w:tc>
          <w:tcPr>
            <w:tcW w:type="dxa" w:w="40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Completion guidance</w:t>
            </w:r>
          </w:p>
        </w:tc>
        <w:tc>
          <w:tcPr>
            <w:tcW w:type="dxa" w:w="2878"/>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Entry / evidence</w:t>
            </w:r>
          </w:p>
        </w:tc>
      </w:tr>
      <w:tr>
        <w:trPr>
          <w:cantSplit/>
        </w:trPr>
        <w:tc>
          <w:tcPr>
            <w:tcW w:type="dxa" w:w="900"/>
            <w:vAlign w:val="center"/>
          </w:tcPr>
          <w:p>
            <w:pPr>
              <w:spacing w:before="0" w:after="30" w:line="240" w:lineRule="auto"/>
            </w:pPr>
            <w:r>
              <w:rPr>
                <w:rFonts w:ascii="Arial" w:hAnsi="Arial"/>
                <w:b w:val="0"/>
                <w:color w:val="2D3741"/>
                <w:sz w:val="16"/>
              </w:rPr>
              <w:t>G-01</w:t>
            </w:r>
          </w:p>
        </w:tc>
        <w:tc>
          <w:tcPr>
            <w:tcW w:type="dxa" w:w="2100"/>
            <w:vAlign w:val="center"/>
          </w:tcPr>
          <w:p>
            <w:pPr>
              <w:spacing w:before="0" w:after="30" w:line="240" w:lineRule="auto"/>
            </w:pPr>
            <w:r>
              <w:rPr>
                <w:rFonts w:ascii="Arial" w:hAnsi="Arial"/>
                <w:b w:val="0"/>
                <w:color w:val="2D3741"/>
                <w:sz w:val="16"/>
              </w:rPr>
              <w:t>Type of submission</w:t>
            </w:r>
          </w:p>
        </w:tc>
        <w:tc>
          <w:tcPr>
            <w:tcW w:type="dxa" w:w="4000"/>
            <w:vAlign w:val="center"/>
          </w:tcPr>
          <w:p>
            <w:pPr>
              <w:spacing w:before="0" w:after="30" w:line="240" w:lineRule="auto"/>
            </w:pPr>
            <w:r>
              <w:rPr>
                <w:rFonts w:ascii="Arial" w:hAnsi="Arial"/>
                <w:b w:val="0"/>
                <w:color w:val="2D3741"/>
                <w:sz w:val="16"/>
              </w:rPr>
              <w:t>Initial notification / intermediate report / final report</w:t>
              <w:br/>
              <w:t>Legal basis: RTS 2025/301 Article 1</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G-02</w:t>
            </w:r>
          </w:p>
        </w:tc>
        <w:tc>
          <w:tcPr>
            <w:tcW w:type="dxa" w:w="2100"/>
            <w:vAlign w:val="center"/>
          </w:tcPr>
          <w:p>
            <w:pPr>
              <w:spacing w:before="0" w:after="30" w:line="240" w:lineRule="auto"/>
            </w:pPr>
            <w:r>
              <w:rPr>
                <w:rFonts w:ascii="Arial" w:hAnsi="Arial"/>
                <w:b w:val="0"/>
                <w:color w:val="2D3741"/>
                <w:sz w:val="16"/>
              </w:rPr>
              <w:t>Financial entity</w:t>
            </w:r>
          </w:p>
        </w:tc>
        <w:tc>
          <w:tcPr>
            <w:tcW w:type="dxa" w:w="4000"/>
            <w:vAlign w:val="center"/>
          </w:tcPr>
          <w:p>
            <w:pPr>
              <w:spacing w:before="0" w:after="30" w:line="240" w:lineRule="auto"/>
            </w:pPr>
            <w:r>
              <w:rPr>
                <w:rFonts w:ascii="Arial" w:hAnsi="Arial"/>
                <w:b w:val="0"/>
                <w:color w:val="2D3741"/>
                <w:sz w:val="16"/>
              </w:rPr>
              <w:t>Legal name, LEI and DORA financial-entity type</w:t>
              <w:br/>
              <w:t>Legal basis: RTS 2025/301 Article 1</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G-03</w:t>
            </w:r>
          </w:p>
        </w:tc>
        <w:tc>
          <w:tcPr>
            <w:tcW w:type="dxa" w:w="2100"/>
            <w:vAlign w:val="center"/>
          </w:tcPr>
          <w:p>
            <w:pPr>
              <w:spacing w:before="0" w:after="30" w:line="240" w:lineRule="auto"/>
            </w:pPr>
            <w:r>
              <w:rPr>
                <w:rFonts w:ascii="Arial" w:hAnsi="Arial"/>
                <w:b w:val="0"/>
                <w:color w:val="2D3741"/>
                <w:sz w:val="16"/>
              </w:rPr>
              <w:t>Submitting entity</w:t>
            </w:r>
          </w:p>
        </w:tc>
        <w:tc>
          <w:tcPr>
            <w:tcW w:type="dxa" w:w="4000"/>
            <w:vAlign w:val="center"/>
          </w:tcPr>
          <w:p>
            <w:pPr>
              <w:spacing w:before="0" w:after="30" w:line="240" w:lineRule="auto"/>
            </w:pPr>
            <w:r>
              <w:rPr>
                <w:rFonts w:ascii="Arial" w:hAnsi="Arial"/>
                <w:b w:val="0"/>
                <w:color w:val="2D3741"/>
                <w:sz w:val="16"/>
              </w:rPr>
              <w:t>Name and identification code where another entity submits</w:t>
              <w:br/>
              <w:t>Legal basis: RTS 2025/301 Article 1</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G-04</w:t>
            </w:r>
          </w:p>
        </w:tc>
        <w:tc>
          <w:tcPr>
            <w:tcW w:type="dxa" w:w="2100"/>
            <w:vAlign w:val="center"/>
          </w:tcPr>
          <w:p>
            <w:pPr>
              <w:spacing w:before="0" w:after="30" w:line="240" w:lineRule="auto"/>
            </w:pPr>
            <w:r>
              <w:rPr>
                <w:rFonts w:ascii="Arial" w:hAnsi="Arial"/>
                <w:b w:val="0"/>
                <w:color w:val="2D3741"/>
                <w:sz w:val="16"/>
              </w:rPr>
              <w:t>Aggregated reporting entities</w:t>
            </w:r>
          </w:p>
        </w:tc>
        <w:tc>
          <w:tcPr>
            <w:tcW w:type="dxa" w:w="4000"/>
            <w:vAlign w:val="center"/>
          </w:tcPr>
          <w:p>
            <w:pPr>
              <w:spacing w:before="0" w:after="30" w:line="240" w:lineRule="auto"/>
            </w:pPr>
            <w:r>
              <w:rPr>
                <w:rFonts w:ascii="Arial" w:hAnsi="Arial"/>
                <w:b w:val="0"/>
                <w:color w:val="2D3741"/>
                <w:sz w:val="16"/>
              </w:rPr>
              <w:t>Names and LEIs of all covered financial entities, where applicable</w:t>
              <w:br/>
              <w:t>Legal basis: RTS 2025/301 Article 1</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G-05</w:t>
            </w:r>
          </w:p>
        </w:tc>
        <w:tc>
          <w:tcPr>
            <w:tcW w:type="dxa" w:w="2100"/>
            <w:vAlign w:val="center"/>
          </w:tcPr>
          <w:p>
            <w:pPr>
              <w:spacing w:before="0" w:after="30" w:line="240" w:lineRule="auto"/>
            </w:pPr>
            <w:r>
              <w:rPr>
                <w:rFonts w:ascii="Arial" w:hAnsi="Arial"/>
                <w:b w:val="0"/>
                <w:color w:val="2D3741"/>
                <w:sz w:val="16"/>
              </w:rPr>
              <w:t>Authority contacts</w:t>
            </w:r>
          </w:p>
        </w:tc>
        <w:tc>
          <w:tcPr>
            <w:tcW w:type="dxa" w:w="4000"/>
            <w:vAlign w:val="center"/>
          </w:tcPr>
          <w:p>
            <w:pPr>
              <w:spacing w:before="0" w:after="30" w:line="240" w:lineRule="auto"/>
            </w:pPr>
            <w:r>
              <w:rPr>
                <w:rFonts w:ascii="Arial" w:hAnsi="Arial"/>
                <w:b w:val="0"/>
                <w:color w:val="2D3741"/>
                <w:sz w:val="16"/>
              </w:rPr>
              <w:t>Persons responsible for communication with the competent authority</w:t>
              <w:br/>
              <w:t>Legal basis: RTS 2025/301 Article 1</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G-06</w:t>
            </w:r>
          </w:p>
        </w:tc>
        <w:tc>
          <w:tcPr>
            <w:tcW w:type="dxa" w:w="2100"/>
            <w:vAlign w:val="center"/>
          </w:tcPr>
          <w:p>
            <w:pPr>
              <w:spacing w:before="0" w:after="30" w:line="240" w:lineRule="auto"/>
            </w:pPr>
            <w:r>
              <w:rPr>
                <w:rFonts w:ascii="Arial" w:hAnsi="Arial"/>
                <w:b w:val="0"/>
                <w:color w:val="2D3741"/>
                <w:sz w:val="16"/>
              </w:rPr>
              <w:t>Parent undertaking</w:t>
            </w:r>
          </w:p>
        </w:tc>
        <w:tc>
          <w:tcPr>
            <w:tcW w:type="dxa" w:w="4000"/>
            <w:vAlign w:val="center"/>
          </w:tcPr>
          <w:p>
            <w:pPr>
              <w:spacing w:before="0" w:after="30" w:line="240" w:lineRule="auto"/>
            </w:pPr>
            <w:r>
              <w:rPr>
                <w:rFonts w:ascii="Arial" w:hAnsi="Arial"/>
                <w:b w:val="0"/>
                <w:color w:val="2D3741"/>
                <w:sz w:val="16"/>
              </w:rPr>
              <w:t>Identification of the group parent, where applicable</w:t>
              <w:br/>
              <w:t>Legal basis: RTS 2025/301 Article 1</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G-07</w:t>
            </w:r>
          </w:p>
        </w:tc>
        <w:tc>
          <w:tcPr>
            <w:tcW w:type="dxa" w:w="2100"/>
            <w:vAlign w:val="center"/>
          </w:tcPr>
          <w:p>
            <w:pPr>
              <w:spacing w:before="0" w:after="30" w:line="240" w:lineRule="auto"/>
            </w:pPr>
            <w:r>
              <w:rPr>
                <w:rFonts w:ascii="Arial" w:hAnsi="Arial"/>
                <w:b w:val="0"/>
                <w:color w:val="2D3741"/>
                <w:sz w:val="16"/>
              </w:rPr>
              <w:t>Reporting currency</w:t>
            </w:r>
          </w:p>
        </w:tc>
        <w:tc>
          <w:tcPr>
            <w:tcW w:type="dxa" w:w="4000"/>
            <w:vAlign w:val="center"/>
          </w:tcPr>
          <w:p>
            <w:pPr>
              <w:spacing w:before="0" w:after="30" w:line="240" w:lineRule="auto"/>
            </w:pPr>
            <w:r>
              <w:rPr>
                <w:rFonts w:ascii="Arial" w:hAnsi="Arial"/>
                <w:b w:val="0"/>
                <w:color w:val="2D3741"/>
                <w:sz w:val="16"/>
              </w:rPr>
              <w:t>Currency used for monetary amounts</w:t>
              <w:br/>
              <w:t>Legal basis: RTS 2025/301 Article 1</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bl>
    <w:p>
      <w:pPr>
        <w:spacing w:after="20"/>
      </w:pPr>
    </w:p>
    <w:p>
      <w:pPr>
        <w:pStyle w:val="Heading2"/>
        <w:keepNext/>
      </w:pPr>
      <w:r>
        <w:t>B4. Initial notification content</w:t>
      </w:r>
    </w:p>
    <w:tbl>
      <w:tblPr>
        <w:tblStyle w:val="TableGrid"/>
        <w:tblW w:type="dxa" w:w="9878"/>
        <w:tblLayout w:type="fixed"/>
        <w:tblLook w:firstColumn="1" w:firstRow="1" w:lastColumn="0" w:lastRow="0" w:noHBand="0" w:noVBand="1" w:val="04A0"/>
        <w:tblInd w:w="90" w:type="dxa"/>
      </w:tblPr>
      <w:tblGrid>
        <w:gridCol w:w="900"/>
        <w:gridCol w:w="2100"/>
        <w:gridCol w:w="4000"/>
        <w:gridCol w:w="2878"/>
      </w:tblGrid>
      <w:tr>
        <w:trPr>
          <w:tblHeader w:val="true"/>
          <w:cantSplit/>
          <w:tblHeader w:val="true"/>
        </w:trPr>
        <w:tc>
          <w:tcPr>
            <w:tcW w:type="dxa" w:w="9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ID</w:t>
            </w:r>
          </w:p>
        </w:tc>
        <w:tc>
          <w:tcPr>
            <w:tcW w:type="dxa" w:w="21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Field</w:t>
            </w:r>
          </w:p>
        </w:tc>
        <w:tc>
          <w:tcPr>
            <w:tcW w:type="dxa" w:w="40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Completion guidance</w:t>
            </w:r>
          </w:p>
        </w:tc>
        <w:tc>
          <w:tcPr>
            <w:tcW w:type="dxa" w:w="2878"/>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Entry / evidence</w:t>
            </w:r>
          </w:p>
        </w:tc>
      </w:tr>
      <w:tr>
        <w:trPr>
          <w:cantSplit/>
        </w:trPr>
        <w:tc>
          <w:tcPr>
            <w:tcW w:type="dxa" w:w="900"/>
            <w:vAlign w:val="center"/>
          </w:tcPr>
          <w:p>
            <w:pPr>
              <w:spacing w:before="0" w:after="30" w:line="240" w:lineRule="auto"/>
            </w:pPr>
            <w:r>
              <w:rPr>
                <w:rFonts w:ascii="Arial" w:hAnsi="Arial"/>
                <w:b w:val="0"/>
                <w:color w:val="2D3741"/>
                <w:sz w:val="16"/>
              </w:rPr>
              <w:t>I-01</w:t>
            </w:r>
          </w:p>
        </w:tc>
        <w:tc>
          <w:tcPr>
            <w:tcW w:type="dxa" w:w="2100"/>
            <w:vAlign w:val="center"/>
          </w:tcPr>
          <w:p>
            <w:pPr>
              <w:spacing w:before="0" w:after="30" w:line="240" w:lineRule="auto"/>
            </w:pPr>
            <w:r>
              <w:rPr>
                <w:rFonts w:ascii="Arial" w:hAnsi="Arial"/>
                <w:b w:val="0"/>
                <w:color w:val="2D3741"/>
                <w:sz w:val="16"/>
              </w:rPr>
              <w:t>Firm incident reference</w:t>
            </w:r>
          </w:p>
        </w:tc>
        <w:tc>
          <w:tcPr>
            <w:tcW w:type="dxa" w:w="4000"/>
            <w:vAlign w:val="center"/>
          </w:tcPr>
          <w:p>
            <w:pPr>
              <w:spacing w:before="0" w:after="30" w:line="240" w:lineRule="auto"/>
            </w:pPr>
            <w:r>
              <w:rPr>
                <w:rFonts w:ascii="Arial" w:hAnsi="Arial"/>
                <w:b w:val="0"/>
                <w:color w:val="2D3741"/>
                <w:sz w:val="16"/>
              </w:rPr>
              <w:t>Internal reference code</w:t>
              <w:br/>
              <w:t>Legal basis: RTS 2025/301 Article 2</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I-02</w:t>
            </w:r>
          </w:p>
        </w:tc>
        <w:tc>
          <w:tcPr>
            <w:tcW w:type="dxa" w:w="2100"/>
            <w:vAlign w:val="center"/>
          </w:tcPr>
          <w:p>
            <w:pPr>
              <w:spacing w:before="0" w:after="30" w:line="240" w:lineRule="auto"/>
            </w:pPr>
            <w:r>
              <w:rPr>
                <w:rFonts w:ascii="Arial" w:hAnsi="Arial"/>
                <w:b w:val="0"/>
                <w:color w:val="2D3741"/>
                <w:sz w:val="16"/>
              </w:rPr>
              <w:t>Detection and classification</w:t>
            </w:r>
          </w:p>
        </w:tc>
        <w:tc>
          <w:tcPr>
            <w:tcW w:type="dxa" w:w="4000"/>
            <w:vAlign w:val="center"/>
          </w:tcPr>
          <w:p>
            <w:pPr>
              <w:spacing w:before="0" w:after="30" w:line="240" w:lineRule="auto"/>
            </w:pPr>
            <w:r>
              <w:rPr>
                <w:rFonts w:ascii="Arial" w:hAnsi="Arial"/>
                <w:b w:val="0"/>
                <w:color w:val="2D3741"/>
                <w:sz w:val="16"/>
              </w:rPr>
              <w:t>Detection date/time and major-classification date/time</w:t>
              <w:br/>
              <w:t>Legal basis: RTS 2025/301 Article 2</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I-03</w:t>
            </w:r>
          </w:p>
        </w:tc>
        <w:tc>
          <w:tcPr>
            <w:tcW w:type="dxa" w:w="2100"/>
            <w:vAlign w:val="center"/>
          </w:tcPr>
          <w:p>
            <w:pPr>
              <w:spacing w:before="0" w:after="30" w:line="240" w:lineRule="auto"/>
            </w:pPr>
            <w:r>
              <w:rPr>
                <w:rFonts w:ascii="Arial" w:hAnsi="Arial"/>
                <w:b w:val="0"/>
                <w:color w:val="2D3741"/>
                <w:sz w:val="16"/>
              </w:rPr>
              <w:t>Incident description</w:t>
            </w:r>
          </w:p>
        </w:tc>
        <w:tc>
          <w:tcPr>
            <w:tcW w:type="dxa" w:w="4000"/>
            <w:vAlign w:val="center"/>
          </w:tcPr>
          <w:p>
            <w:pPr>
              <w:spacing w:before="0" w:after="30" w:line="240" w:lineRule="auto"/>
            </w:pPr>
            <w:r>
              <w:rPr>
                <w:rFonts w:ascii="Arial" w:hAnsi="Arial"/>
                <w:b w:val="0"/>
                <w:color w:val="2D3741"/>
                <w:sz w:val="16"/>
              </w:rPr>
              <w:t>Concise facts, systems, services and current impact</w:t>
              <w:br/>
              <w:t>Legal basis: RTS 2025/301 Article 2</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I-04</w:t>
            </w:r>
          </w:p>
        </w:tc>
        <w:tc>
          <w:tcPr>
            <w:tcW w:type="dxa" w:w="2100"/>
            <w:vAlign w:val="center"/>
          </w:tcPr>
          <w:p>
            <w:pPr>
              <w:spacing w:before="0" w:after="30" w:line="240" w:lineRule="auto"/>
            </w:pPr>
            <w:r>
              <w:rPr>
                <w:rFonts w:ascii="Arial" w:hAnsi="Arial"/>
                <w:b w:val="0"/>
                <w:color w:val="2D3741"/>
                <w:sz w:val="16"/>
              </w:rPr>
              <w:t>Classification criteria</w:t>
            </w:r>
          </w:p>
        </w:tc>
        <w:tc>
          <w:tcPr>
            <w:tcW w:type="dxa" w:w="4000"/>
            <w:vAlign w:val="center"/>
          </w:tcPr>
          <w:p>
            <w:pPr>
              <w:spacing w:before="0" w:after="30" w:line="240" w:lineRule="auto"/>
            </w:pPr>
            <w:r>
              <w:rPr>
                <w:rFonts w:ascii="Arial" w:hAnsi="Arial"/>
                <w:b w:val="0"/>
                <w:color w:val="2D3741"/>
                <w:sz w:val="16"/>
              </w:rPr>
              <w:t>Criteria and thresholds supporting major classification</w:t>
              <w:br/>
              <w:t>Legal basis: RTS 2025/301 Article 2</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I-05</w:t>
            </w:r>
          </w:p>
        </w:tc>
        <w:tc>
          <w:tcPr>
            <w:tcW w:type="dxa" w:w="2100"/>
            <w:vAlign w:val="center"/>
          </w:tcPr>
          <w:p>
            <w:pPr>
              <w:spacing w:before="0" w:after="30" w:line="240" w:lineRule="auto"/>
            </w:pPr>
            <w:r>
              <w:rPr>
                <w:rFonts w:ascii="Arial" w:hAnsi="Arial"/>
                <w:b w:val="0"/>
                <w:color w:val="2D3741"/>
                <w:sz w:val="16"/>
              </w:rPr>
              <w:t>Impacted Member States</w:t>
            </w:r>
          </w:p>
        </w:tc>
        <w:tc>
          <w:tcPr>
            <w:tcW w:type="dxa" w:w="4000"/>
            <w:vAlign w:val="center"/>
          </w:tcPr>
          <w:p>
            <w:pPr>
              <w:spacing w:before="0" w:after="30" w:line="240" w:lineRule="auto"/>
            </w:pPr>
            <w:r>
              <w:rPr>
                <w:rFonts w:ascii="Arial" w:hAnsi="Arial"/>
                <w:b w:val="0"/>
                <w:color w:val="2D3741"/>
                <w:sz w:val="16"/>
              </w:rPr>
              <w:t>Member States affected or currently estimated</w:t>
              <w:br/>
              <w:t>Legal basis: RTS 2025/301 Article 2</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I-06</w:t>
            </w:r>
          </w:p>
        </w:tc>
        <w:tc>
          <w:tcPr>
            <w:tcW w:type="dxa" w:w="2100"/>
            <w:vAlign w:val="center"/>
          </w:tcPr>
          <w:p>
            <w:pPr>
              <w:spacing w:before="0" w:after="30" w:line="240" w:lineRule="auto"/>
            </w:pPr>
            <w:r>
              <w:rPr>
                <w:rFonts w:ascii="Arial" w:hAnsi="Arial"/>
                <w:b w:val="0"/>
                <w:color w:val="2D3741"/>
                <w:sz w:val="16"/>
              </w:rPr>
              <w:t>Discovery</w:t>
            </w:r>
          </w:p>
        </w:tc>
        <w:tc>
          <w:tcPr>
            <w:tcW w:type="dxa" w:w="4000"/>
            <w:vAlign w:val="center"/>
          </w:tcPr>
          <w:p>
            <w:pPr>
              <w:spacing w:before="0" w:after="30" w:line="240" w:lineRule="auto"/>
            </w:pPr>
            <w:r>
              <w:rPr>
                <w:rFonts w:ascii="Arial" w:hAnsi="Arial"/>
                <w:b w:val="0"/>
                <w:color w:val="2D3741"/>
                <w:sz w:val="16"/>
              </w:rPr>
              <w:t>How the incident was discovered</w:t>
              <w:br/>
              <w:t>Legal basis: RTS 2025/301 Article 2</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I-07</w:t>
            </w:r>
          </w:p>
        </w:tc>
        <w:tc>
          <w:tcPr>
            <w:tcW w:type="dxa" w:w="2100"/>
            <w:vAlign w:val="center"/>
          </w:tcPr>
          <w:p>
            <w:pPr>
              <w:spacing w:before="0" w:after="30" w:line="240" w:lineRule="auto"/>
            </w:pPr>
            <w:r>
              <w:rPr>
                <w:rFonts w:ascii="Arial" w:hAnsi="Arial"/>
                <w:b w:val="0"/>
                <w:color w:val="2D3741"/>
                <w:sz w:val="16"/>
              </w:rPr>
              <w:t>Origin</w:t>
            </w:r>
          </w:p>
        </w:tc>
        <w:tc>
          <w:tcPr>
            <w:tcW w:type="dxa" w:w="4000"/>
            <w:vAlign w:val="center"/>
          </w:tcPr>
          <w:p>
            <w:pPr>
              <w:spacing w:before="0" w:after="30" w:line="240" w:lineRule="auto"/>
            </w:pPr>
            <w:r>
              <w:rPr>
                <w:rFonts w:ascii="Arial" w:hAnsi="Arial"/>
                <w:b w:val="0"/>
                <w:color w:val="2D3741"/>
                <w:sz w:val="16"/>
              </w:rPr>
              <w:t>Known or suspected origin, where available</w:t>
              <w:br/>
              <w:t>Legal basis: RTS 2025/301 Article 2</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I-08</w:t>
            </w:r>
          </w:p>
        </w:tc>
        <w:tc>
          <w:tcPr>
            <w:tcW w:type="dxa" w:w="2100"/>
            <w:vAlign w:val="center"/>
          </w:tcPr>
          <w:p>
            <w:pPr>
              <w:spacing w:before="0" w:after="30" w:line="240" w:lineRule="auto"/>
            </w:pPr>
            <w:r>
              <w:rPr>
                <w:rFonts w:ascii="Arial" w:hAnsi="Arial"/>
                <w:b w:val="0"/>
                <w:color w:val="2D3741"/>
                <w:sz w:val="16"/>
              </w:rPr>
              <w:t>Business continuity activation</w:t>
            </w:r>
          </w:p>
        </w:tc>
        <w:tc>
          <w:tcPr>
            <w:tcW w:type="dxa" w:w="4000"/>
            <w:vAlign w:val="center"/>
          </w:tcPr>
          <w:p>
            <w:pPr>
              <w:spacing w:before="0" w:after="30" w:line="240" w:lineRule="auto"/>
            </w:pPr>
            <w:r>
              <w:rPr>
                <w:rFonts w:ascii="Arial" w:hAnsi="Arial"/>
                <w:b w:val="0"/>
                <w:color w:val="2D3741"/>
                <w:sz w:val="16"/>
              </w:rPr>
              <w:t>Whether D05 was activated and current status</w:t>
              <w:br/>
              <w:t>Legal basis: RTS 2025/301 Article 2</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I-09</w:t>
            </w:r>
          </w:p>
        </w:tc>
        <w:tc>
          <w:tcPr>
            <w:tcW w:type="dxa" w:w="2100"/>
            <w:vAlign w:val="center"/>
          </w:tcPr>
          <w:p>
            <w:pPr>
              <w:spacing w:before="0" w:after="30" w:line="240" w:lineRule="auto"/>
            </w:pPr>
            <w:r>
              <w:rPr>
                <w:rFonts w:ascii="Arial" w:hAnsi="Arial"/>
                <w:b w:val="0"/>
                <w:color w:val="2D3741"/>
                <w:sz w:val="16"/>
              </w:rPr>
              <w:t>Reclassification</w:t>
            </w:r>
          </w:p>
        </w:tc>
        <w:tc>
          <w:tcPr>
            <w:tcW w:type="dxa" w:w="4000"/>
            <w:vAlign w:val="center"/>
          </w:tcPr>
          <w:p>
            <w:pPr>
              <w:spacing w:before="0" w:after="30" w:line="240" w:lineRule="auto"/>
            </w:pPr>
            <w:r>
              <w:rPr>
                <w:rFonts w:ascii="Arial" w:hAnsi="Arial"/>
                <w:b w:val="0"/>
                <w:color w:val="2D3741"/>
                <w:sz w:val="16"/>
              </w:rPr>
              <w:t>Any reclassification from major to non-major</w:t>
              <w:br/>
              <w:t>Legal basis: RTS 2025/301 Article 2</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I-10</w:t>
            </w:r>
          </w:p>
        </w:tc>
        <w:tc>
          <w:tcPr>
            <w:tcW w:type="dxa" w:w="2100"/>
            <w:vAlign w:val="center"/>
          </w:tcPr>
          <w:p>
            <w:pPr>
              <w:spacing w:before="0" w:after="30" w:line="240" w:lineRule="auto"/>
            </w:pPr>
            <w:r>
              <w:rPr>
                <w:rFonts w:ascii="Arial" w:hAnsi="Arial"/>
                <w:b w:val="0"/>
                <w:color w:val="2D3741"/>
                <w:sz w:val="16"/>
              </w:rPr>
              <w:t>Other relevant information</w:t>
            </w:r>
          </w:p>
        </w:tc>
        <w:tc>
          <w:tcPr>
            <w:tcW w:type="dxa" w:w="4000"/>
            <w:vAlign w:val="center"/>
          </w:tcPr>
          <w:p>
            <w:pPr>
              <w:spacing w:before="0" w:after="30" w:line="240" w:lineRule="auto"/>
            </w:pPr>
            <w:r>
              <w:rPr>
                <w:rFonts w:ascii="Arial" w:hAnsi="Arial"/>
                <w:b w:val="0"/>
                <w:color w:val="2D3741"/>
                <w:sz w:val="16"/>
              </w:rPr>
              <w:t>Material information not otherwise captured</w:t>
              <w:br/>
              <w:t>Legal basis: RTS 2025/301 Article 2</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bl>
    <w:p>
      <w:pPr>
        <w:spacing w:after="20"/>
      </w:pPr>
    </w:p>
    <w:p>
      <w:pPr>
        <w:pStyle w:val="Heading2"/>
        <w:keepNext/>
      </w:pPr>
      <w:r>
        <w:t>B5. Intermediate report content</w:t>
      </w:r>
    </w:p>
    <w:tbl>
      <w:tblPr>
        <w:tblStyle w:val="TableGrid"/>
        <w:tblW w:type="dxa" w:w="9878"/>
        <w:tblLayout w:type="fixed"/>
        <w:tblLook w:firstColumn="1" w:firstRow="1" w:lastColumn="0" w:lastRow="0" w:noHBand="0" w:noVBand="1" w:val="04A0"/>
        <w:tblInd w:w="90" w:type="dxa"/>
      </w:tblPr>
      <w:tblGrid>
        <w:gridCol w:w="900"/>
        <w:gridCol w:w="2100"/>
        <w:gridCol w:w="4000"/>
        <w:gridCol w:w="2878"/>
      </w:tblGrid>
      <w:tr>
        <w:trPr>
          <w:tblHeader w:val="true"/>
          <w:cantSplit/>
          <w:tblHeader w:val="true"/>
        </w:trPr>
        <w:tc>
          <w:tcPr>
            <w:tcW w:type="dxa" w:w="9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ID</w:t>
            </w:r>
          </w:p>
        </w:tc>
        <w:tc>
          <w:tcPr>
            <w:tcW w:type="dxa" w:w="21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Field</w:t>
            </w:r>
          </w:p>
        </w:tc>
        <w:tc>
          <w:tcPr>
            <w:tcW w:type="dxa" w:w="40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Completion guidance</w:t>
            </w:r>
          </w:p>
        </w:tc>
        <w:tc>
          <w:tcPr>
            <w:tcW w:type="dxa" w:w="2878"/>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Entry / evidence</w:t>
            </w:r>
          </w:p>
        </w:tc>
      </w:tr>
      <w:tr>
        <w:trPr>
          <w:cantSplit/>
        </w:trPr>
        <w:tc>
          <w:tcPr>
            <w:tcW w:type="dxa" w:w="900"/>
            <w:vAlign w:val="center"/>
          </w:tcPr>
          <w:p>
            <w:pPr>
              <w:spacing w:before="0" w:after="30" w:line="240" w:lineRule="auto"/>
            </w:pPr>
            <w:r>
              <w:rPr>
                <w:rFonts w:ascii="Arial" w:hAnsi="Arial"/>
                <w:b w:val="0"/>
                <w:color w:val="2D3741"/>
                <w:sz w:val="16"/>
              </w:rPr>
              <w:t>M-01</w:t>
            </w:r>
          </w:p>
        </w:tc>
        <w:tc>
          <w:tcPr>
            <w:tcW w:type="dxa" w:w="2100"/>
            <w:vAlign w:val="center"/>
          </w:tcPr>
          <w:p>
            <w:pPr>
              <w:spacing w:before="0" w:after="30" w:line="240" w:lineRule="auto"/>
            </w:pPr>
            <w:r>
              <w:rPr>
                <w:rFonts w:ascii="Arial" w:hAnsi="Arial"/>
                <w:b w:val="0"/>
                <w:color w:val="2D3741"/>
                <w:sz w:val="16"/>
              </w:rPr>
              <w:t>Authority incident reference</w:t>
            </w:r>
          </w:p>
        </w:tc>
        <w:tc>
          <w:tcPr>
            <w:tcW w:type="dxa" w:w="4000"/>
            <w:vAlign w:val="center"/>
          </w:tcPr>
          <w:p>
            <w:pPr>
              <w:spacing w:before="0" w:after="30" w:line="240" w:lineRule="auto"/>
            </w:pPr>
            <w:r>
              <w:rPr>
                <w:rFonts w:ascii="Arial" w:hAnsi="Arial"/>
                <w:b w:val="0"/>
                <w:color w:val="2D3741"/>
                <w:sz w:val="16"/>
              </w:rPr>
              <w:t>Reference assigned by the competent authority</w:t>
              <w:br/>
              <w:t>Legal basis: RTS 2025/301 Article 3</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M-02</w:t>
            </w:r>
          </w:p>
        </w:tc>
        <w:tc>
          <w:tcPr>
            <w:tcW w:type="dxa" w:w="2100"/>
            <w:vAlign w:val="center"/>
          </w:tcPr>
          <w:p>
            <w:pPr>
              <w:spacing w:before="0" w:after="30" w:line="240" w:lineRule="auto"/>
            </w:pPr>
            <w:r>
              <w:rPr>
                <w:rFonts w:ascii="Arial" w:hAnsi="Arial"/>
                <w:b w:val="0"/>
                <w:color w:val="2D3741"/>
                <w:sz w:val="16"/>
              </w:rPr>
              <w:t>Occurrence</w:t>
            </w:r>
          </w:p>
        </w:tc>
        <w:tc>
          <w:tcPr>
            <w:tcW w:type="dxa" w:w="4000"/>
            <w:vAlign w:val="center"/>
          </w:tcPr>
          <w:p>
            <w:pPr>
              <w:spacing w:before="0" w:after="30" w:line="240" w:lineRule="auto"/>
            </w:pPr>
            <w:r>
              <w:rPr>
                <w:rFonts w:ascii="Arial" w:hAnsi="Arial"/>
                <w:b w:val="0"/>
                <w:color w:val="2D3741"/>
                <w:sz w:val="16"/>
              </w:rPr>
              <w:t>Date/time the incident occurred or best estimate</w:t>
              <w:br/>
              <w:t>Legal basis: RTS 2025/301 Article 3</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M-03</w:t>
            </w:r>
          </w:p>
        </w:tc>
        <w:tc>
          <w:tcPr>
            <w:tcW w:type="dxa" w:w="2100"/>
            <w:vAlign w:val="center"/>
          </w:tcPr>
          <w:p>
            <w:pPr>
              <w:spacing w:before="0" w:after="30" w:line="240" w:lineRule="auto"/>
            </w:pPr>
            <w:r>
              <w:rPr>
                <w:rFonts w:ascii="Arial" w:hAnsi="Arial"/>
                <w:b w:val="0"/>
                <w:color w:val="2D3741"/>
                <w:sz w:val="16"/>
              </w:rPr>
              <w:t>Regular activities recovered</w:t>
            </w:r>
          </w:p>
        </w:tc>
        <w:tc>
          <w:tcPr>
            <w:tcW w:type="dxa" w:w="4000"/>
            <w:vAlign w:val="center"/>
          </w:tcPr>
          <w:p>
            <w:pPr>
              <w:spacing w:before="0" w:after="30" w:line="240" w:lineRule="auto"/>
            </w:pPr>
            <w:r>
              <w:rPr>
                <w:rFonts w:ascii="Arial" w:hAnsi="Arial"/>
                <w:b w:val="0"/>
                <w:color w:val="2D3741"/>
                <w:sz w:val="16"/>
              </w:rPr>
              <w:t>Recovery date/time, where applicable</w:t>
              <w:br/>
              <w:t>Legal basis: RTS 2025/301 Article 3</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M-04</w:t>
            </w:r>
          </w:p>
        </w:tc>
        <w:tc>
          <w:tcPr>
            <w:tcW w:type="dxa" w:w="2100"/>
            <w:vAlign w:val="center"/>
          </w:tcPr>
          <w:p>
            <w:pPr>
              <w:spacing w:before="0" w:after="30" w:line="240" w:lineRule="auto"/>
            </w:pPr>
            <w:r>
              <w:rPr>
                <w:rFonts w:ascii="Arial" w:hAnsi="Arial"/>
                <w:b w:val="0"/>
                <w:color w:val="2D3741"/>
                <w:sz w:val="16"/>
              </w:rPr>
              <w:t>Classification update</w:t>
            </w:r>
          </w:p>
        </w:tc>
        <w:tc>
          <w:tcPr>
            <w:tcW w:type="dxa" w:w="4000"/>
            <w:vAlign w:val="center"/>
          </w:tcPr>
          <w:p>
            <w:pPr>
              <w:spacing w:before="0" w:after="30" w:line="240" w:lineRule="auto"/>
            </w:pPr>
            <w:r>
              <w:rPr>
                <w:rFonts w:ascii="Arial" w:hAnsi="Arial"/>
                <w:b w:val="0"/>
                <w:color w:val="2D3741"/>
                <w:sz w:val="16"/>
              </w:rPr>
              <w:t>How each relevant Article 1–8 criterion is fulfilled</w:t>
              <w:br/>
              <w:t>Legal basis: RTS 2025/301 Article 3</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M-05</w:t>
            </w:r>
          </w:p>
        </w:tc>
        <w:tc>
          <w:tcPr>
            <w:tcW w:type="dxa" w:w="2100"/>
            <w:vAlign w:val="center"/>
          </w:tcPr>
          <w:p>
            <w:pPr>
              <w:spacing w:before="0" w:after="30" w:line="240" w:lineRule="auto"/>
            </w:pPr>
            <w:r>
              <w:rPr>
                <w:rFonts w:ascii="Arial" w:hAnsi="Arial"/>
                <w:b w:val="0"/>
                <w:color w:val="2D3741"/>
                <w:sz w:val="16"/>
              </w:rPr>
              <w:t>Incident type</w:t>
            </w:r>
          </w:p>
        </w:tc>
        <w:tc>
          <w:tcPr>
            <w:tcW w:type="dxa" w:w="4000"/>
            <w:vAlign w:val="center"/>
          </w:tcPr>
          <w:p>
            <w:pPr>
              <w:spacing w:before="0" w:after="30" w:line="240" w:lineRule="auto"/>
            </w:pPr>
            <w:r>
              <w:rPr>
                <w:rFonts w:ascii="Arial" w:hAnsi="Arial"/>
                <w:b w:val="0"/>
                <w:color w:val="2D3741"/>
                <w:sz w:val="16"/>
              </w:rPr>
              <w:t>Current incident-type classification</w:t>
              <w:br/>
              <w:t>Legal basis: RTS 2025/301 Article 3</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M-06</w:t>
            </w:r>
          </w:p>
        </w:tc>
        <w:tc>
          <w:tcPr>
            <w:tcW w:type="dxa" w:w="2100"/>
            <w:vAlign w:val="center"/>
          </w:tcPr>
          <w:p>
            <w:pPr>
              <w:spacing w:before="0" w:after="30" w:line="240" w:lineRule="auto"/>
            </w:pPr>
            <w:r>
              <w:rPr>
                <w:rFonts w:ascii="Arial" w:hAnsi="Arial"/>
                <w:b w:val="0"/>
                <w:color w:val="2D3741"/>
                <w:sz w:val="16"/>
              </w:rPr>
              <w:t>Threats and techniques</w:t>
            </w:r>
          </w:p>
        </w:tc>
        <w:tc>
          <w:tcPr>
            <w:tcW w:type="dxa" w:w="4000"/>
            <w:vAlign w:val="center"/>
          </w:tcPr>
          <w:p>
            <w:pPr>
              <w:spacing w:before="0" w:after="30" w:line="240" w:lineRule="auto"/>
            </w:pPr>
            <w:r>
              <w:rPr>
                <w:rFonts w:ascii="Arial" w:hAnsi="Arial"/>
                <w:b w:val="0"/>
                <w:color w:val="2D3741"/>
                <w:sz w:val="16"/>
              </w:rPr>
              <w:t>Threat actor, tactics, techniques and procedures, where applicable</w:t>
              <w:br/>
              <w:t>Legal basis: RTS 2025/301 Article 3</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M-07</w:t>
            </w:r>
          </w:p>
        </w:tc>
        <w:tc>
          <w:tcPr>
            <w:tcW w:type="dxa" w:w="2100"/>
            <w:vAlign w:val="center"/>
          </w:tcPr>
          <w:p>
            <w:pPr>
              <w:spacing w:before="0" w:after="30" w:line="240" w:lineRule="auto"/>
            </w:pPr>
            <w:r>
              <w:rPr>
                <w:rFonts w:ascii="Arial" w:hAnsi="Arial"/>
                <w:b w:val="0"/>
                <w:color w:val="2D3741"/>
                <w:sz w:val="16"/>
              </w:rPr>
              <w:t>Functional areas / processes</w:t>
            </w:r>
          </w:p>
        </w:tc>
        <w:tc>
          <w:tcPr>
            <w:tcW w:type="dxa" w:w="4000"/>
            <w:vAlign w:val="center"/>
          </w:tcPr>
          <w:p>
            <w:pPr>
              <w:spacing w:before="0" w:after="30" w:line="240" w:lineRule="auto"/>
            </w:pPr>
            <w:r>
              <w:rPr>
                <w:rFonts w:ascii="Arial" w:hAnsi="Arial"/>
                <w:b w:val="0"/>
                <w:color w:val="2D3741"/>
                <w:sz w:val="16"/>
              </w:rPr>
              <w:t>Affected functions and business processes</w:t>
              <w:br/>
              <w:t>Legal basis: RTS 2025/301 Article 3</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M-08</w:t>
            </w:r>
          </w:p>
        </w:tc>
        <w:tc>
          <w:tcPr>
            <w:tcW w:type="dxa" w:w="2100"/>
            <w:vAlign w:val="center"/>
          </w:tcPr>
          <w:p>
            <w:pPr>
              <w:spacing w:before="0" w:after="30" w:line="240" w:lineRule="auto"/>
            </w:pPr>
            <w:r>
              <w:rPr>
                <w:rFonts w:ascii="Arial" w:hAnsi="Arial"/>
                <w:b w:val="0"/>
                <w:color w:val="2D3741"/>
                <w:sz w:val="16"/>
              </w:rPr>
              <w:t>Infrastructure</w:t>
            </w:r>
          </w:p>
        </w:tc>
        <w:tc>
          <w:tcPr>
            <w:tcW w:type="dxa" w:w="4000"/>
            <w:vAlign w:val="center"/>
          </w:tcPr>
          <w:p>
            <w:pPr>
              <w:spacing w:before="0" w:after="30" w:line="240" w:lineRule="auto"/>
            </w:pPr>
            <w:r>
              <w:rPr>
                <w:rFonts w:ascii="Arial" w:hAnsi="Arial"/>
                <w:b w:val="0"/>
                <w:color w:val="2D3741"/>
                <w:sz w:val="16"/>
              </w:rPr>
              <w:t>Affected infrastructure components supporting the processes</w:t>
              <w:br/>
              <w:t>Legal basis: RTS 2025/301 Article 3</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M-09</w:t>
            </w:r>
          </w:p>
        </w:tc>
        <w:tc>
          <w:tcPr>
            <w:tcW w:type="dxa" w:w="2100"/>
            <w:vAlign w:val="center"/>
          </w:tcPr>
          <w:p>
            <w:pPr>
              <w:spacing w:before="0" w:after="30" w:line="240" w:lineRule="auto"/>
            </w:pPr>
            <w:r>
              <w:rPr>
                <w:rFonts w:ascii="Arial" w:hAnsi="Arial"/>
                <w:b w:val="0"/>
                <w:color w:val="2D3741"/>
                <w:sz w:val="16"/>
              </w:rPr>
              <w:t>Client financial interests</w:t>
            </w:r>
          </w:p>
        </w:tc>
        <w:tc>
          <w:tcPr>
            <w:tcW w:type="dxa" w:w="4000"/>
            <w:vAlign w:val="center"/>
          </w:tcPr>
          <w:p>
            <w:pPr>
              <w:spacing w:before="0" w:after="30" w:line="240" w:lineRule="auto"/>
            </w:pPr>
            <w:r>
              <w:rPr>
                <w:rFonts w:ascii="Arial" w:hAnsi="Arial"/>
                <w:b w:val="0"/>
                <w:color w:val="2D3741"/>
                <w:sz w:val="16"/>
              </w:rPr>
              <w:t>Current or potential impact on clients’ financial interests</w:t>
              <w:br/>
              <w:t>Legal basis: RTS 2025/301 Article 3</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M-10</w:t>
            </w:r>
          </w:p>
        </w:tc>
        <w:tc>
          <w:tcPr>
            <w:tcW w:type="dxa" w:w="2100"/>
            <w:vAlign w:val="center"/>
          </w:tcPr>
          <w:p>
            <w:pPr>
              <w:spacing w:before="0" w:after="30" w:line="240" w:lineRule="auto"/>
            </w:pPr>
            <w:r>
              <w:rPr>
                <w:rFonts w:ascii="Arial" w:hAnsi="Arial"/>
                <w:b w:val="0"/>
                <w:color w:val="2D3741"/>
                <w:sz w:val="16"/>
              </w:rPr>
              <w:t>Other authorities</w:t>
            </w:r>
          </w:p>
        </w:tc>
        <w:tc>
          <w:tcPr>
            <w:tcW w:type="dxa" w:w="4000"/>
            <w:vAlign w:val="center"/>
          </w:tcPr>
          <w:p>
            <w:pPr>
              <w:spacing w:before="0" w:after="30" w:line="240" w:lineRule="auto"/>
            </w:pPr>
            <w:r>
              <w:rPr>
                <w:rFonts w:ascii="Arial" w:hAnsi="Arial"/>
                <w:b w:val="0"/>
                <w:color w:val="2D3741"/>
                <w:sz w:val="16"/>
              </w:rPr>
              <w:t>Reports or notifications made to other authorities</w:t>
              <w:br/>
              <w:t>Legal basis: RTS 2025/301 Article 3</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M-11</w:t>
            </w:r>
          </w:p>
        </w:tc>
        <w:tc>
          <w:tcPr>
            <w:tcW w:type="dxa" w:w="2100"/>
            <w:vAlign w:val="center"/>
          </w:tcPr>
          <w:p>
            <w:pPr>
              <w:spacing w:before="0" w:after="30" w:line="240" w:lineRule="auto"/>
            </w:pPr>
            <w:r>
              <w:rPr>
                <w:rFonts w:ascii="Arial" w:hAnsi="Arial"/>
                <w:b w:val="0"/>
                <w:color w:val="2D3741"/>
                <w:sz w:val="16"/>
              </w:rPr>
              <w:t>Recovery measures</w:t>
            </w:r>
          </w:p>
        </w:tc>
        <w:tc>
          <w:tcPr>
            <w:tcW w:type="dxa" w:w="4000"/>
            <w:vAlign w:val="center"/>
          </w:tcPr>
          <w:p>
            <w:pPr>
              <w:spacing w:before="0" w:after="30" w:line="240" w:lineRule="auto"/>
            </w:pPr>
            <w:r>
              <w:rPr>
                <w:rFonts w:ascii="Arial" w:hAnsi="Arial"/>
                <w:b w:val="0"/>
                <w:color w:val="2D3741"/>
                <w:sz w:val="16"/>
              </w:rPr>
              <w:t>Temporary actions or measures taken/planned</w:t>
              <w:br/>
              <w:t>Legal basis: RTS 2025/301 Article 3</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M-12</w:t>
            </w:r>
          </w:p>
        </w:tc>
        <w:tc>
          <w:tcPr>
            <w:tcW w:type="dxa" w:w="2100"/>
            <w:vAlign w:val="center"/>
          </w:tcPr>
          <w:p>
            <w:pPr>
              <w:spacing w:before="0" w:after="30" w:line="240" w:lineRule="auto"/>
            </w:pPr>
            <w:r>
              <w:rPr>
                <w:rFonts w:ascii="Arial" w:hAnsi="Arial"/>
                <w:b w:val="0"/>
                <w:color w:val="2D3741"/>
                <w:sz w:val="16"/>
              </w:rPr>
              <w:t>Indicators of compromise</w:t>
            </w:r>
          </w:p>
        </w:tc>
        <w:tc>
          <w:tcPr>
            <w:tcW w:type="dxa" w:w="4000"/>
            <w:vAlign w:val="center"/>
          </w:tcPr>
          <w:p>
            <w:pPr>
              <w:spacing w:before="0" w:after="30" w:line="240" w:lineRule="auto"/>
            </w:pPr>
            <w:r>
              <w:rPr>
                <w:rFonts w:ascii="Arial" w:hAnsi="Arial"/>
                <w:b w:val="0"/>
                <w:color w:val="2D3741"/>
                <w:sz w:val="16"/>
              </w:rPr>
              <w:t>Relevant indicators, where applicable</w:t>
              <w:br/>
              <w:t>Legal basis: RTS 2025/301 Article 3</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bl>
    <w:p>
      <w:pPr>
        <w:spacing w:after="20"/>
      </w:pPr>
    </w:p>
    <w:p>
      <w:pPr>
        <w:pStyle w:val="Heading2"/>
        <w:keepNext/>
      </w:pPr>
      <w:r>
        <w:t>B6. Final report content</w:t>
      </w:r>
    </w:p>
    <w:tbl>
      <w:tblPr>
        <w:tblStyle w:val="TableGrid"/>
        <w:tblW w:type="dxa" w:w="9878"/>
        <w:tblLayout w:type="fixed"/>
        <w:tblLook w:firstColumn="1" w:firstRow="1" w:lastColumn="0" w:lastRow="0" w:noHBand="0" w:noVBand="1" w:val="04A0"/>
        <w:tblInd w:w="90" w:type="dxa"/>
      </w:tblPr>
      <w:tblGrid>
        <w:gridCol w:w="900"/>
        <w:gridCol w:w="2100"/>
        <w:gridCol w:w="4000"/>
        <w:gridCol w:w="2878"/>
      </w:tblGrid>
      <w:tr>
        <w:trPr>
          <w:tblHeader w:val="true"/>
          <w:cantSplit/>
          <w:tblHeader w:val="true"/>
        </w:trPr>
        <w:tc>
          <w:tcPr>
            <w:tcW w:type="dxa" w:w="9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ID</w:t>
            </w:r>
          </w:p>
        </w:tc>
        <w:tc>
          <w:tcPr>
            <w:tcW w:type="dxa" w:w="21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Field</w:t>
            </w:r>
          </w:p>
        </w:tc>
        <w:tc>
          <w:tcPr>
            <w:tcW w:type="dxa" w:w="40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Completion guidance</w:t>
            </w:r>
          </w:p>
        </w:tc>
        <w:tc>
          <w:tcPr>
            <w:tcW w:type="dxa" w:w="2878"/>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Entry / evidence</w:t>
            </w:r>
          </w:p>
        </w:tc>
      </w:tr>
      <w:tr>
        <w:trPr>
          <w:cantSplit/>
        </w:trPr>
        <w:tc>
          <w:tcPr>
            <w:tcW w:type="dxa" w:w="900"/>
            <w:vAlign w:val="center"/>
          </w:tcPr>
          <w:p>
            <w:pPr>
              <w:spacing w:before="0" w:after="30" w:line="240" w:lineRule="auto"/>
            </w:pPr>
            <w:r>
              <w:rPr>
                <w:rFonts w:ascii="Arial" w:hAnsi="Arial"/>
                <w:b w:val="0"/>
                <w:color w:val="2D3741"/>
                <w:sz w:val="16"/>
              </w:rPr>
              <w:t>F-01</w:t>
            </w:r>
          </w:p>
        </w:tc>
        <w:tc>
          <w:tcPr>
            <w:tcW w:type="dxa" w:w="2100"/>
            <w:vAlign w:val="center"/>
          </w:tcPr>
          <w:p>
            <w:pPr>
              <w:spacing w:before="0" w:after="30" w:line="240" w:lineRule="auto"/>
            </w:pPr>
            <w:r>
              <w:rPr>
                <w:rFonts w:ascii="Arial" w:hAnsi="Arial"/>
                <w:b w:val="0"/>
                <w:color w:val="2D3741"/>
                <w:sz w:val="16"/>
              </w:rPr>
              <w:t>Root cause</w:t>
            </w:r>
          </w:p>
        </w:tc>
        <w:tc>
          <w:tcPr>
            <w:tcW w:type="dxa" w:w="4000"/>
            <w:vAlign w:val="center"/>
          </w:tcPr>
          <w:p>
            <w:pPr>
              <w:spacing w:before="0" w:after="30" w:line="240" w:lineRule="auto"/>
            </w:pPr>
            <w:r>
              <w:rPr>
                <w:rFonts w:ascii="Arial" w:hAnsi="Arial"/>
                <w:b w:val="0"/>
                <w:color w:val="2D3741"/>
                <w:sz w:val="16"/>
              </w:rPr>
              <w:t>Confirmed root cause(s) and contributing causes</w:t>
              <w:br/>
              <w:t>Legal basis: RTS 2025/301 Article 4</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F-02</w:t>
            </w:r>
          </w:p>
        </w:tc>
        <w:tc>
          <w:tcPr>
            <w:tcW w:type="dxa" w:w="2100"/>
            <w:vAlign w:val="center"/>
          </w:tcPr>
          <w:p>
            <w:pPr>
              <w:spacing w:before="0" w:after="30" w:line="240" w:lineRule="auto"/>
            </w:pPr>
            <w:r>
              <w:rPr>
                <w:rFonts w:ascii="Arial" w:hAnsi="Arial"/>
                <w:b w:val="0"/>
                <w:color w:val="2D3741"/>
                <w:sz w:val="16"/>
              </w:rPr>
              <w:t>Resolution timing</w:t>
            </w:r>
          </w:p>
        </w:tc>
        <w:tc>
          <w:tcPr>
            <w:tcW w:type="dxa" w:w="4000"/>
            <w:vAlign w:val="center"/>
          </w:tcPr>
          <w:p>
            <w:pPr>
              <w:spacing w:before="0" w:after="30" w:line="240" w:lineRule="auto"/>
            </w:pPr>
            <w:r>
              <w:rPr>
                <w:rFonts w:ascii="Arial" w:hAnsi="Arial"/>
                <w:b w:val="0"/>
                <w:color w:val="2D3741"/>
                <w:sz w:val="16"/>
              </w:rPr>
              <w:t>Date/time incident resolved and root cause(s) addressed</w:t>
              <w:br/>
              <w:t>Legal basis: RTS 2025/301 Article 4</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F-03</w:t>
            </w:r>
          </w:p>
        </w:tc>
        <w:tc>
          <w:tcPr>
            <w:tcW w:type="dxa" w:w="2100"/>
            <w:vAlign w:val="center"/>
          </w:tcPr>
          <w:p>
            <w:pPr>
              <w:spacing w:before="0" w:after="30" w:line="240" w:lineRule="auto"/>
            </w:pPr>
            <w:r>
              <w:rPr>
                <w:rFonts w:ascii="Arial" w:hAnsi="Arial"/>
                <w:b w:val="0"/>
                <w:color w:val="2D3741"/>
                <w:sz w:val="16"/>
              </w:rPr>
              <w:t>Resolution</w:t>
            </w:r>
          </w:p>
        </w:tc>
        <w:tc>
          <w:tcPr>
            <w:tcW w:type="dxa" w:w="4000"/>
            <w:vAlign w:val="center"/>
          </w:tcPr>
          <w:p>
            <w:pPr>
              <w:spacing w:before="0" w:after="30" w:line="240" w:lineRule="auto"/>
            </w:pPr>
            <w:r>
              <w:rPr>
                <w:rFonts w:ascii="Arial" w:hAnsi="Arial"/>
                <w:b w:val="0"/>
                <w:color w:val="2D3741"/>
                <w:sz w:val="16"/>
              </w:rPr>
              <w:t>Permanent resolution and restored control state</w:t>
              <w:br/>
              <w:t>Legal basis: RTS 2025/301 Article 4</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F-04</w:t>
            </w:r>
          </w:p>
        </w:tc>
        <w:tc>
          <w:tcPr>
            <w:tcW w:type="dxa" w:w="2100"/>
            <w:vAlign w:val="center"/>
          </w:tcPr>
          <w:p>
            <w:pPr>
              <w:spacing w:before="0" w:after="30" w:line="240" w:lineRule="auto"/>
            </w:pPr>
            <w:r>
              <w:rPr>
                <w:rFonts w:ascii="Arial" w:hAnsi="Arial"/>
                <w:b w:val="0"/>
                <w:color w:val="2D3741"/>
                <w:sz w:val="16"/>
              </w:rPr>
              <w:t>Resolution-authority information</w:t>
            </w:r>
          </w:p>
        </w:tc>
        <w:tc>
          <w:tcPr>
            <w:tcW w:type="dxa" w:w="4000"/>
            <w:vAlign w:val="center"/>
          </w:tcPr>
          <w:p>
            <w:pPr>
              <w:spacing w:before="0" w:after="30" w:line="240" w:lineRule="auto"/>
            </w:pPr>
            <w:r>
              <w:rPr>
                <w:rFonts w:ascii="Arial" w:hAnsi="Arial"/>
                <w:b w:val="0"/>
                <w:color w:val="2D3741"/>
                <w:sz w:val="16"/>
              </w:rPr>
              <w:t>Relevant information, where applicable</w:t>
              <w:br/>
              <w:t>Legal basis: RTS 2025/301 Article 4</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F-05</w:t>
            </w:r>
          </w:p>
        </w:tc>
        <w:tc>
          <w:tcPr>
            <w:tcW w:type="dxa" w:w="2100"/>
            <w:vAlign w:val="center"/>
          </w:tcPr>
          <w:p>
            <w:pPr>
              <w:spacing w:before="0" w:after="30" w:line="240" w:lineRule="auto"/>
            </w:pPr>
            <w:r>
              <w:rPr>
                <w:rFonts w:ascii="Arial" w:hAnsi="Arial"/>
                <w:b w:val="0"/>
                <w:color w:val="2D3741"/>
                <w:sz w:val="16"/>
              </w:rPr>
              <w:t>Costs, losses and recoveries</w:t>
            </w:r>
          </w:p>
        </w:tc>
        <w:tc>
          <w:tcPr>
            <w:tcW w:type="dxa" w:w="4000"/>
            <w:vAlign w:val="center"/>
          </w:tcPr>
          <w:p>
            <w:pPr>
              <w:spacing w:before="0" w:after="30" w:line="240" w:lineRule="auto"/>
            </w:pPr>
            <w:r>
              <w:rPr>
                <w:rFonts w:ascii="Arial" w:hAnsi="Arial"/>
                <w:b w:val="0"/>
                <w:color w:val="2D3741"/>
                <w:sz w:val="16"/>
              </w:rPr>
              <w:t>Direct/indirect costs and losses plus financial recoveries</w:t>
              <w:br/>
              <w:t>Legal basis: RTS 2025/301 Article 4</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F-06</w:t>
            </w:r>
          </w:p>
        </w:tc>
        <w:tc>
          <w:tcPr>
            <w:tcW w:type="dxa" w:w="2100"/>
            <w:vAlign w:val="center"/>
          </w:tcPr>
          <w:p>
            <w:pPr>
              <w:spacing w:before="0" w:after="30" w:line="240" w:lineRule="auto"/>
            </w:pPr>
            <w:r>
              <w:rPr>
                <w:rFonts w:ascii="Arial" w:hAnsi="Arial"/>
                <w:b w:val="0"/>
                <w:color w:val="2D3741"/>
                <w:sz w:val="16"/>
              </w:rPr>
              <w:t>Recurring incidents</w:t>
            </w:r>
          </w:p>
        </w:tc>
        <w:tc>
          <w:tcPr>
            <w:tcW w:type="dxa" w:w="4000"/>
            <w:vAlign w:val="center"/>
          </w:tcPr>
          <w:p>
            <w:pPr>
              <w:spacing w:before="0" w:after="30" w:line="240" w:lineRule="auto"/>
            </w:pPr>
            <w:r>
              <w:rPr>
                <w:rFonts w:ascii="Arial" w:hAnsi="Arial"/>
                <w:b w:val="0"/>
                <w:color w:val="2D3741"/>
                <w:sz w:val="16"/>
              </w:rPr>
              <w:t>Relevant recurring-incident information, where applicable</w:t>
              <w:br/>
              <w:t>Legal basis: RTS 2025/301 Article 4</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bl>
    <w:p>
      <w:pPr>
        <w:spacing w:after="20"/>
      </w:pPr>
    </w:p>
    <w:p>
      <w:pPr>
        <w:pStyle w:val="Heading2"/>
        <w:keepNext/>
      </w:pPr>
      <w:r>
        <w:t>B7. Significant cyber-threat notification — optional</w:t>
      </w:r>
    </w:p>
    <w:tbl>
      <w:tblPr>
        <w:tblW w:type="dxa" w:w="9878"/>
        <w:tblLayout w:type="fixed"/>
        <w:tblLook w:firstColumn="1" w:firstRow="1" w:lastColumn="0" w:lastRow="0" w:noHBand="0" w:noVBand="1" w:val="04A0"/>
        <w:tblInd w:w="90" w:type="dxa"/>
      </w:tblPr>
      <w:tblGrid>
        <w:gridCol w:w="1500"/>
        <w:gridCol w:w="8378"/>
      </w:tblGrid>
      <w:tr>
        <w:trPr>
          <w:cantSplit/>
          <w:tblHeader w:val="true"/>
        </w:trPr>
        <w:tc>
          <w:tcPr>
            <w:tcW w:type="dxa" w:w="15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OPTIONAL</w:t>
            </w:r>
          </w:p>
        </w:tc>
        <w:tc>
          <w:tcPr>
            <w:tcW w:type="dxa" w:w="8378"/>
            <w:tcMar>
              <w:top w:w="70" w:type="dxa"/>
              <w:start w:w="90" w:type="dxa"/>
              <w:bottom w:w="70" w:type="dxa"/>
              <w:end w:w="90" w:type="dxa"/>
            </w:tcMar>
            <w:vAlign w:val="center"/>
            <w:shd w:fill="EEF2F6"/>
          </w:tcPr>
          <w:p>
            <w:pPr>
              <w:spacing w:before="0" w:after="30" w:line="240" w:lineRule="auto"/>
            </w:pPr>
            <w:r>
              <w:rPr>
                <w:rFonts w:ascii="Arial" w:hAnsi="Arial"/>
                <w:b w:val="0"/>
                <w:color w:val="2D3741"/>
                <w:sz w:val="16"/>
              </w:rPr>
              <w:t>Complete only where the firm decides to notify a significant cyber threat under DORA Article 19(2). Use the current Central Bank cyber-threat template.</w:t>
            </w:r>
          </w:p>
        </w:tc>
      </w:tr>
    </w:tbl>
    <w:p>
      <w:pPr>
        <w:spacing w:after="40"/>
      </w:pPr>
    </w:p>
    <w:tbl>
      <w:tblPr>
        <w:tblStyle w:val="TableGrid"/>
        <w:tblW w:type="dxa" w:w="9878"/>
        <w:tblLayout w:type="fixed"/>
        <w:tblLook w:firstColumn="1" w:firstRow="1" w:lastColumn="0" w:lastRow="0" w:noHBand="0" w:noVBand="1" w:val="04A0"/>
        <w:tblInd w:w="90" w:type="dxa"/>
      </w:tblPr>
      <w:tblGrid>
        <w:gridCol w:w="900"/>
        <w:gridCol w:w="2100"/>
        <w:gridCol w:w="4000"/>
        <w:gridCol w:w="2878"/>
      </w:tblGrid>
      <w:tr>
        <w:trPr>
          <w:tblHeader w:val="true"/>
          <w:cantSplit/>
          <w:tblHeader w:val="true"/>
        </w:trPr>
        <w:tc>
          <w:tcPr>
            <w:tcW w:type="dxa" w:w="9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ID</w:t>
            </w:r>
          </w:p>
        </w:tc>
        <w:tc>
          <w:tcPr>
            <w:tcW w:type="dxa" w:w="21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Field</w:t>
            </w:r>
          </w:p>
        </w:tc>
        <w:tc>
          <w:tcPr>
            <w:tcW w:type="dxa" w:w="40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Completion guidance</w:t>
            </w:r>
          </w:p>
        </w:tc>
        <w:tc>
          <w:tcPr>
            <w:tcW w:type="dxa" w:w="2878"/>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Entry / evidence</w:t>
            </w:r>
          </w:p>
        </w:tc>
      </w:tr>
      <w:tr>
        <w:trPr>
          <w:cantSplit/>
        </w:trPr>
        <w:tc>
          <w:tcPr>
            <w:tcW w:type="dxa" w:w="900"/>
            <w:vAlign w:val="center"/>
          </w:tcPr>
          <w:p>
            <w:pPr>
              <w:spacing w:before="0" w:after="30" w:line="240" w:lineRule="auto"/>
            </w:pPr>
            <w:r>
              <w:rPr>
                <w:rFonts w:ascii="Arial" w:hAnsi="Arial"/>
                <w:b w:val="0"/>
                <w:color w:val="2D3741"/>
                <w:sz w:val="16"/>
              </w:rPr>
              <w:t>C-01</w:t>
            </w:r>
          </w:p>
        </w:tc>
        <w:tc>
          <w:tcPr>
            <w:tcW w:type="dxa" w:w="2100"/>
            <w:vAlign w:val="center"/>
          </w:tcPr>
          <w:p>
            <w:pPr>
              <w:spacing w:before="0" w:after="30" w:line="240" w:lineRule="auto"/>
            </w:pPr>
            <w:r>
              <w:rPr>
                <w:rFonts w:ascii="Arial" w:hAnsi="Arial"/>
                <w:b w:val="0"/>
                <w:color w:val="2D3741"/>
                <w:sz w:val="16"/>
              </w:rPr>
              <w:t>Entity information</w:t>
            </w:r>
          </w:p>
        </w:tc>
        <w:tc>
          <w:tcPr>
            <w:tcW w:type="dxa" w:w="4000"/>
            <w:vAlign w:val="center"/>
          </w:tcPr>
          <w:p>
            <w:pPr>
              <w:spacing w:before="0" w:after="30" w:line="240" w:lineRule="auto"/>
            </w:pPr>
            <w:r>
              <w:rPr>
                <w:rFonts w:ascii="Arial" w:hAnsi="Arial"/>
                <w:b w:val="0"/>
                <w:color w:val="2D3741"/>
                <w:sz w:val="16"/>
              </w:rPr>
              <w:t>General entity information corresponding to Article 1</w:t>
              <w:br/>
              <w:t>Legal basis: RTS 2025/301 Article 6</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C-02</w:t>
            </w:r>
          </w:p>
        </w:tc>
        <w:tc>
          <w:tcPr>
            <w:tcW w:type="dxa" w:w="2100"/>
            <w:vAlign w:val="center"/>
          </w:tcPr>
          <w:p>
            <w:pPr>
              <w:spacing w:before="0" w:after="30" w:line="240" w:lineRule="auto"/>
            </w:pPr>
            <w:r>
              <w:rPr>
                <w:rFonts w:ascii="Arial" w:hAnsi="Arial"/>
                <w:b w:val="0"/>
                <w:color w:val="2D3741"/>
                <w:sz w:val="16"/>
              </w:rPr>
              <w:t>Detection and timestamps</w:t>
            </w:r>
          </w:p>
        </w:tc>
        <w:tc>
          <w:tcPr>
            <w:tcW w:type="dxa" w:w="4000"/>
            <w:vAlign w:val="center"/>
          </w:tcPr>
          <w:p>
            <w:pPr>
              <w:spacing w:before="0" w:after="30" w:line="240" w:lineRule="auto"/>
            </w:pPr>
            <w:r>
              <w:rPr>
                <w:rFonts w:ascii="Arial" w:hAnsi="Arial"/>
                <w:b w:val="0"/>
                <w:color w:val="2D3741"/>
                <w:sz w:val="16"/>
              </w:rPr>
              <w:t>Detection time and other relevant timestamps</w:t>
              <w:br/>
              <w:t>Legal basis: RTS 2025/301 Article 6</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C-03</w:t>
            </w:r>
          </w:p>
        </w:tc>
        <w:tc>
          <w:tcPr>
            <w:tcW w:type="dxa" w:w="2100"/>
            <w:vAlign w:val="center"/>
          </w:tcPr>
          <w:p>
            <w:pPr>
              <w:spacing w:before="0" w:after="30" w:line="240" w:lineRule="auto"/>
            </w:pPr>
            <w:r>
              <w:rPr>
                <w:rFonts w:ascii="Arial" w:hAnsi="Arial"/>
                <w:b w:val="0"/>
                <w:color w:val="2D3741"/>
                <w:sz w:val="16"/>
              </w:rPr>
              <w:t>Threat description</w:t>
            </w:r>
          </w:p>
        </w:tc>
        <w:tc>
          <w:tcPr>
            <w:tcW w:type="dxa" w:w="4000"/>
            <w:vAlign w:val="center"/>
          </w:tcPr>
          <w:p>
            <w:pPr>
              <w:spacing w:before="0" w:after="30" w:line="240" w:lineRule="auto"/>
            </w:pPr>
            <w:r>
              <w:rPr>
                <w:rFonts w:ascii="Arial" w:hAnsi="Arial"/>
                <w:b w:val="0"/>
                <w:color w:val="2D3741"/>
                <w:sz w:val="16"/>
              </w:rPr>
              <w:t>Technical and operational description</w:t>
              <w:br/>
              <w:t>Legal basis: RTS 2025/301 Article 6</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C-04</w:t>
            </w:r>
          </w:p>
        </w:tc>
        <w:tc>
          <w:tcPr>
            <w:tcW w:type="dxa" w:w="2100"/>
            <w:vAlign w:val="center"/>
          </w:tcPr>
          <w:p>
            <w:pPr>
              <w:spacing w:before="0" w:after="30" w:line="240" w:lineRule="auto"/>
            </w:pPr>
            <w:r>
              <w:rPr>
                <w:rFonts w:ascii="Arial" w:hAnsi="Arial"/>
                <w:b w:val="0"/>
                <w:color w:val="2D3741"/>
                <w:sz w:val="16"/>
              </w:rPr>
              <w:t>Potential impact</w:t>
            </w:r>
          </w:p>
        </w:tc>
        <w:tc>
          <w:tcPr>
            <w:tcW w:type="dxa" w:w="4000"/>
            <w:vAlign w:val="center"/>
          </w:tcPr>
          <w:p>
            <w:pPr>
              <w:spacing w:before="0" w:after="30" w:line="240" w:lineRule="auto"/>
            </w:pPr>
            <w:r>
              <w:rPr>
                <w:rFonts w:ascii="Arial" w:hAnsi="Arial"/>
                <w:b w:val="0"/>
                <w:color w:val="2D3741"/>
                <w:sz w:val="16"/>
              </w:rPr>
              <w:t>Potential impact on the firm, clients and financial counterparts</w:t>
              <w:br/>
              <w:t>Legal basis: RTS 2025/301 Article 6</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C-05</w:t>
            </w:r>
          </w:p>
        </w:tc>
        <w:tc>
          <w:tcPr>
            <w:tcW w:type="dxa" w:w="2100"/>
            <w:vAlign w:val="center"/>
          </w:tcPr>
          <w:p>
            <w:pPr>
              <w:spacing w:before="0" w:after="30" w:line="240" w:lineRule="auto"/>
            </w:pPr>
            <w:r>
              <w:rPr>
                <w:rFonts w:ascii="Arial" w:hAnsi="Arial"/>
                <w:b w:val="0"/>
                <w:color w:val="2D3741"/>
                <w:sz w:val="16"/>
              </w:rPr>
              <w:t>Counterfactual classification</w:t>
            </w:r>
          </w:p>
        </w:tc>
        <w:tc>
          <w:tcPr>
            <w:tcW w:type="dxa" w:w="4000"/>
            <w:vAlign w:val="center"/>
          </w:tcPr>
          <w:p>
            <w:pPr>
              <w:spacing w:before="0" w:after="30" w:line="240" w:lineRule="auto"/>
            </w:pPr>
            <w:r>
              <w:rPr>
                <w:rFonts w:ascii="Arial" w:hAnsi="Arial"/>
                <w:b w:val="0"/>
                <w:color w:val="2D3741"/>
                <w:sz w:val="16"/>
              </w:rPr>
              <w:t>Criteria that would have triggered major reporting if materialised</w:t>
              <w:br/>
              <w:t>Legal basis: RTS 2025/301 Article 6</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C-06</w:t>
            </w:r>
          </w:p>
        </w:tc>
        <w:tc>
          <w:tcPr>
            <w:tcW w:type="dxa" w:w="2100"/>
            <w:vAlign w:val="center"/>
          </w:tcPr>
          <w:p>
            <w:pPr>
              <w:spacing w:before="0" w:after="30" w:line="240" w:lineRule="auto"/>
            </w:pPr>
            <w:r>
              <w:rPr>
                <w:rFonts w:ascii="Arial" w:hAnsi="Arial"/>
                <w:b w:val="0"/>
                <w:color w:val="2D3741"/>
                <w:sz w:val="16"/>
              </w:rPr>
              <w:t>Threat status</w:t>
            </w:r>
          </w:p>
        </w:tc>
        <w:tc>
          <w:tcPr>
            <w:tcW w:type="dxa" w:w="4000"/>
            <w:vAlign w:val="center"/>
          </w:tcPr>
          <w:p>
            <w:pPr>
              <w:spacing w:before="0" w:after="30" w:line="240" w:lineRule="auto"/>
            </w:pPr>
            <w:r>
              <w:rPr>
                <w:rFonts w:ascii="Arial" w:hAnsi="Arial"/>
                <w:b w:val="0"/>
                <w:color w:val="2D3741"/>
                <w:sz w:val="16"/>
              </w:rPr>
              <w:t>Current status and changes in threat activity</w:t>
              <w:br/>
              <w:t>Legal basis: RTS 2025/301 Article 6</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C-07</w:t>
            </w:r>
          </w:p>
        </w:tc>
        <w:tc>
          <w:tcPr>
            <w:tcW w:type="dxa" w:w="2100"/>
            <w:vAlign w:val="center"/>
          </w:tcPr>
          <w:p>
            <w:pPr>
              <w:spacing w:before="0" w:after="30" w:line="240" w:lineRule="auto"/>
            </w:pPr>
            <w:r>
              <w:rPr>
                <w:rFonts w:ascii="Arial" w:hAnsi="Arial"/>
                <w:b w:val="0"/>
                <w:color w:val="2D3741"/>
                <w:sz w:val="16"/>
              </w:rPr>
              <w:t>Preventive action</w:t>
            </w:r>
          </w:p>
        </w:tc>
        <w:tc>
          <w:tcPr>
            <w:tcW w:type="dxa" w:w="4000"/>
            <w:vAlign w:val="center"/>
          </w:tcPr>
          <w:p>
            <w:pPr>
              <w:spacing w:before="0" w:after="30" w:line="240" w:lineRule="auto"/>
            </w:pPr>
            <w:r>
              <w:rPr>
                <w:rFonts w:ascii="Arial" w:hAnsi="Arial"/>
                <w:b w:val="0"/>
                <w:color w:val="2D3741"/>
                <w:sz w:val="16"/>
              </w:rPr>
              <w:t>Actions taken to prevent materialisation</w:t>
              <w:br/>
              <w:t>Legal basis: RTS 2025/301 Article 6</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C-08</w:t>
            </w:r>
          </w:p>
        </w:tc>
        <w:tc>
          <w:tcPr>
            <w:tcW w:type="dxa" w:w="2100"/>
            <w:vAlign w:val="center"/>
          </w:tcPr>
          <w:p>
            <w:pPr>
              <w:spacing w:before="0" w:after="30" w:line="240" w:lineRule="auto"/>
            </w:pPr>
            <w:r>
              <w:rPr>
                <w:rFonts w:ascii="Arial" w:hAnsi="Arial"/>
                <w:b w:val="0"/>
                <w:color w:val="2D3741"/>
                <w:sz w:val="16"/>
              </w:rPr>
              <w:t>Other notifications</w:t>
            </w:r>
          </w:p>
        </w:tc>
        <w:tc>
          <w:tcPr>
            <w:tcW w:type="dxa" w:w="4000"/>
            <w:vAlign w:val="center"/>
          </w:tcPr>
          <w:p>
            <w:pPr>
              <w:spacing w:before="0" w:after="30" w:line="240" w:lineRule="auto"/>
            </w:pPr>
            <w:r>
              <w:rPr>
                <w:rFonts w:ascii="Arial" w:hAnsi="Arial"/>
                <w:b w:val="0"/>
                <w:color w:val="2D3741"/>
                <w:sz w:val="16"/>
              </w:rPr>
              <w:t>Notifications to other financial entities or authorities</w:t>
              <w:br/>
              <w:t>Legal basis: RTS 2025/301 Article 6</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C-09</w:t>
            </w:r>
          </w:p>
        </w:tc>
        <w:tc>
          <w:tcPr>
            <w:tcW w:type="dxa" w:w="2100"/>
            <w:vAlign w:val="center"/>
          </w:tcPr>
          <w:p>
            <w:pPr>
              <w:spacing w:before="0" w:after="30" w:line="240" w:lineRule="auto"/>
            </w:pPr>
            <w:r>
              <w:rPr>
                <w:rFonts w:ascii="Arial" w:hAnsi="Arial"/>
                <w:b w:val="0"/>
                <w:color w:val="2D3741"/>
                <w:sz w:val="16"/>
              </w:rPr>
              <w:t>Indicators of compromise</w:t>
            </w:r>
          </w:p>
        </w:tc>
        <w:tc>
          <w:tcPr>
            <w:tcW w:type="dxa" w:w="4000"/>
            <w:vAlign w:val="center"/>
          </w:tcPr>
          <w:p>
            <w:pPr>
              <w:spacing w:before="0" w:after="30" w:line="240" w:lineRule="auto"/>
            </w:pPr>
            <w:r>
              <w:rPr>
                <w:rFonts w:ascii="Arial" w:hAnsi="Arial"/>
                <w:b w:val="0"/>
                <w:color w:val="2D3741"/>
                <w:sz w:val="16"/>
              </w:rPr>
              <w:t>Relevant indicators, where applicable</w:t>
              <w:br/>
              <w:t>Legal basis: RTS 2025/301 Article 6</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r>
        <w:trPr>
          <w:cantSplit/>
        </w:trPr>
        <w:tc>
          <w:tcPr>
            <w:tcW w:type="dxa" w:w="900"/>
            <w:vAlign w:val="center"/>
          </w:tcPr>
          <w:p>
            <w:pPr>
              <w:spacing w:before="0" w:after="30" w:line="240" w:lineRule="auto"/>
            </w:pPr>
            <w:r>
              <w:rPr>
                <w:rFonts w:ascii="Arial" w:hAnsi="Arial"/>
                <w:b w:val="0"/>
                <w:color w:val="2D3741"/>
                <w:sz w:val="16"/>
              </w:rPr>
              <w:t>C-10</w:t>
            </w:r>
          </w:p>
        </w:tc>
        <w:tc>
          <w:tcPr>
            <w:tcW w:type="dxa" w:w="2100"/>
            <w:vAlign w:val="center"/>
          </w:tcPr>
          <w:p>
            <w:pPr>
              <w:spacing w:before="0" w:after="30" w:line="240" w:lineRule="auto"/>
            </w:pPr>
            <w:r>
              <w:rPr>
                <w:rFonts w:ascii="Arial" w:hAnsi="Arial"/>
                <w:b w:val="0"/>
                <w:color w:val="2D3741"/>
                <w:sz w:val="16"/>
              </w:rPr>
              <w:t>Other relevant information</w:t>
            </w:r>
          </w:p>
        </w:tc>
        <w:tc>
          <w:tcPr>
            <w:tcW w:type="dxa" w:w="4000"/>
            <w:vAlign w:val="center"/>
          </w:tcPr>
          <w:p>
            <w:pPr>
              <w:spacing w:before="0" w:after="30" w:line="240" w:lineRule="auto"/>
            </w:pPr>
            <w:r>
              <w:rPr>
                <w:rFonts w:ascii="Arial" w:hAnsi="Arial"/>
                <w:b w:val="0"/>
                <w:color w:val="2D3741"/>
                <w:sz w:val="16"/>
              </w:rPr>
              <w:t>Any other available relevant information</w:t>
              <w:br/>
              <w:t>Legal basis: RTS 2025/301 Article 6</w:t>
            </w:r>
          </w:p>
        </w:tc>
        <w:tc>
          <w:tcPr>
            <w:tcW w:type="dxa" w:w="2878"/>
            <w:vAlign w:val="center"/>
            <w:shd w:fill="FFF2CC"/>
          </w:tcPr>
          <w:p>
            <w:pPr>
              <w:spacing w:before="0" w:after="30" w:line="240" w:lineRule="auto"/>
            </w:pPr>
            <w:r>
              <w:rPr>
                <w:rFonts w:ascii="Arial" w:hAnsi="Arial"/>
                <w:b w:val="0"/>
                <w:color w:val="2D3741"/>
                <w:sz w:val="16"/>
              </w:rPr>
              <w:t>[COMPLETE / ESTIMATE / N/A + source]</w:t>
            </w:r>
          </w:p>
        </w:tc>
      </w:tr>
    </w:tbl>
    <w:p>
      <w:pPr>
        <w:spacing w:after="20"/>
      </w:pPr>
    </w:p>
    <w:p>
      <w:pPr>
        <w:pStyle w:val="Heading2"/>
        <w:keepNext/>
      </w:pPr>
      <w:r>
        <w:t>B8. Data quality, estimates and updates</w:t>
      </w:r>
    </w:p>
    <w:tbl>
      <w:tblPr>
        <w:tblStyle w:val="TableGrid"/>
        <w:tblW w:type="dxa" w:w="9878"/>
        <w:tblLayout w:type="fixed"/>
        <w:tblLook w:firstColumn="1" w:firstRow="1" w:lastColumn="0" w:lastRow="0" w:noHBand="0" w:noVBand="1" w:val="04A0"/>
        <w:tblInd w:w="90" w:type="dxa"/>
      </w:tblPr>
      <w:tblGrid>
        <w:gridCol w:w="2200"/>
        <w:gridCol w:w="5000"/>
        <w:gridCol w:w="2678"/>
      </w:tblGrid>
      <w:tr>
        <w:trPr>
          <w:tblHeader w:val="true"/>
          <w:cantSplit/>
          <w:tblHeader w:val="true"/>
        </w:trPr>
        <w:tc>
          <w:tcPr>
            <w:tcW w:type="dxa" w:w="22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Control</w:t>
            </w:r>
          </w:p>
        </w:tc>
        <w:tc>
          <w:tcPr>
            <w:tcW w:type="dxa" w:w="50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Required treatment</w:t>
            </w:r>
          </w:p>
        </w:tc>
        <w:tc>
          <w:tcPr>
            <w:tcW w:type="dxa" w:w="2678"/>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Record</w:t>
            </w:r>
          </w:p>
        </w:tc>
      </w:tr>
      <w:tr>
        <w:trPr>
          <w:cantSplit/>
        </w:trPr>
        <w:tc>
          <w:tcPr>
            <w:tcW w:type="dxa" w:w="2200"/>
            <w:vAlign w:val="center"/>
          </w:tcPr>
          <w:p>
            <w:pPr>
              <w:spacing w:before="0" w:after="30" w:line="240" w:lineRule="auto"/>
            </w:pPr>
            <w:r>
              <w:rPr>
                <w:rFonts w:ascii="Arial" w:hAnsi="Arial"/>
                <w:b w:val="0"/>
                <w:color w:val="2D3741"/>
                <w:sz w:val="16"/>
              </w:rPr>
              <w:t>Completeness and accuracy</w:t>
            </w:r>
          </w:p>
        </w:tc>
        <w:tc>
          <w:tcPr>
            <w:tcW w:type="dxa" w:w="5000"/>
            <w:vAlign w:val="center"/>
          </w:tcPr>
          <w:p>
            <w:pPr>
              <w:spacing w:before="0" w:after="30" w:line="240" w:lineRule="auto"/>
            </w:pPr>
            <w:r>
              <w:rPr>
                <w:rFonts w:ascii="Arial" w:hAnsi="Arial"/>
                <w:b w:val="0"/>
                <w:color w:val="2D3741"/>
                <w:sz w:val="16"/>
              </w:rPr>
              <w:t>Reviewer confirms all required stage-specific fields are complete and accurate.</w:t>
            </w:r>
          </w:p>
        </w:tc>
        <w:tc>
          <w:tcPr>
            <w:tcW w:type="dxa" w:w="2678"/>
            <w:vAlign w:val="center"/>
            <w:shd w:fill="FFF2CC"/>
          </w:tcPr>
          <w:p>
            <w:pPr>
              <w:spacing w:before="0" w:after="30" w:line="240" w:lineRule="auto"/>
            </w:pPr>
            <w:r>
              <w:rPr>
                <w:rFonts w:ascii="Arial" w:hAnsi="Arial"/>
                <w:b w:val="0"/>
                <w:color w:val="2D3741"/>
                <w:sz w:val="16"/>
              </w:rPr>
              <w:t>[REVIEWER / TIME / EXCEPTIONS]</w:t>
            </w:r>
          </w:p>
        </w:tc>
      </w:tr>
      <w:tr>
        <w:trPr>
          <w:cantSplit/>
        </w:trPr>
        <w:tc>
          <w:tcPr>
            <w:tcW w:type="dxa" w:w="2200"/>
            <w:vAlign w:val="center"/>
          </w:tcPr>
          <w:p>
            <w:pPr>
              <w:spacing w:before="0" w:after="30" w:line="240" w:lineRule="auto"/>
            </w:pPr>
            <w:r>
              <w:rPr>
                <w:rFonts w:ascii="Arial" w:hAnsi="Arial"/>
                <w:b w:val="0"/>
                <w:color w:val="2D3741"/>
                <w:sz w:val="16"/>
              </w:rPr>
              <w:t>Estimated values</w:t>
            </w:r>
          </w:p>
        </w:tc>
        <w:tc>
          <w:tcPr>
            <w:tcW w:type="dxa" w:w="5000"/>
            <w:vAlign w:val="center"/>
          </w:tcPr>
          <w:p>
            <w:pPr>
              <w:spacing w:before="0" w:after="30" w:line="240" w:lineRule="auto"/>
            </w:pPr>
            <w:r>
              <w:rPr>
                <w:rFonts w:ascii="Arial" w:hAnsi="Arial"/>
                <w:b w:val="0"/>
                <w:color w:val="2D3741"/>
                <w:sz w:val="16"/>
              </w:rPr>
              <w:t>Where accurate data are unavailable for initial/intermediate reporting, use best available estimates and identify basis, owner and uncertainty.</w:t>
            </w:r>
          </w:p>
        </w:tc>
        <w:tc>
          <w:tcPr>
            <w:tcW w:type="dxa" w:w="2678"/>
            <w:vAlign w:val="center"/>
            <w:shd w:fill="FFF2CC"/>
          </w:tcPr>
          <w:p>
            <w:pPr>
              <w:spacing w:before="0" w:after="30" w:line="240" w:lineRule="auto"/>
            </w:pPr>
            <w:r>
              <w:rPr>
                <w:rFonts w:ascii="Arial" w:hAnsi="Arial"/>
                <w:b w:val="0"/>
                <w:color w:val="2D3741"/>
                <w:sz w:val="16"/>
              </w:rPr>
              <w:t>[FIELD / ESTIMATE / SOURCE / CONFIDENCE]</w:t>
            </w:r>
          </w:p>
        </w:tc>
      </w:tr>
      <w:tr>
        <w:trPr>
          <w:cantSplit/>
        </w:trPr>
        <w:tc>
          <w:tcPr>
            <w:tcW w:type="dxa" w:w="2200"/>
            <w:vAlign w:val="center"/>
          </w:tcPr>
          <w:p>
            <w:pPr>
              <w:spacing w:before="0" w:after="30" w:line="240" w:lineRule="auto"/>
            </w:pPr>
            <w:r>
              <w:rPr>
                <w:rFonts w:ascii="Arial" w:hAnsi="Arial"/>
                <w:b w:val="0"/>
                <w:color w:val="2D3741"/>
                <w:sz w:val="16"/>
              </w:rPr>
              <w:t>Update prior information</w:t>
            </w:r>
          </w:p>
        </w:tc>
        <w:tc>
          <w:tcPr>
            <w:tcW w:type="dxa" w:w="5000"/>
            <w:vAlign w:val="center"/>
          </w:tcPr>
          <w:p>
            <w:pPr>
              <w:spacing w:before="0" w:after="30" w:line="240" w:lineRule="auto"/>
            </w:pPr>
            <w:r>
              <w:rPr>
                <w:rFonts w:ascii="Arial" w:hAnsi="Arial"/>
                <w:b w:val="0"/>
                <w:color w:val="2D3741"/>
                <w:sz w:val="16"/>
              </w:rPr>
              <w:t>Intermediate and final submissions must update prior data where facts changed.</w:t>
            </w:r>
          </w:p>
        </w:tc>
        <w:tc>
          <w:tcPr>
            <w:tcW w:type="dxa" w:w="2678"/>
            <w:vAlign w:val="center"/>
            <w:shd w:fill="FFF2CC"/>
          </w:tcPr>
          <w:p>
            <w:pPr>
              <w:spacing w:before="0" w:after="30" w:line="240" w:lineRule="auto"/>
            </w:pPr>
            <w:r>
              <w:rPr>
                <w:rFonts w:ascii="Arial" w:hAnsi="Arial"/>
                <w:b w:val="0"/>
                <w:color w:val="2D3741"/>
                <w:sz w:val="16"/>
              </w:rPr>
              <w:t>[FIELDS UPDATED / REASON]</w:t>
            </w:r>
          </w:p>
        </w:tc>
      </w:tr>
      <w:tr>
        <w:trPr>
          <w:cantSplit/>
        </w:trPr>
        <w:tc>
          <w:tcPr>
            <w:tcW w:type="dxa" w:w="2200"/>
            <w:vAlign w:val="center"/>
          </w:tcPr>
          <w:p>
            <w:pPr>
              <w:spacing w:before="0" w:after="30" w:line="240" w:lineRule="auto"/>
            </w:pPr>
            <w:r>
              <w:rPr>
                <w:rFonts w:ascii="Arial" w:hAnsi="Arial"/>
                <w:b w:val="0"/>
                <w:color w:val="2D3741"/>
                <w:sz w:val="16"/>
              </w:rPr>
              <w:t>Missing information</w:t>
            </w:r>
          </w:p>
        </w:tc>
        <w:tc>
          <w:tcPr>
            <w:tcW w:type="dxa" w:w="5000"/>
            <w:vAlign w:val="center"/>
          </w:tcPr>
          <w:p>
            <w:pPr>
              <w:spacing w:before="0" w:after="30" w:line="240" w:lineRule="auto"/>
            </w:pPr>
            <w:r>
              <w:rPr>
                <w:rFonts w:ascii="Arial" w:hAnsi="Arial"/>
                <w:b w:val="0"/>
                <w:color w:val="2D3741"/>
                <w:sz w:val="16"/>
              </w:rPr>
              <w:t>Identify missing items, owner, retrieval action and next update time.</w:t>
            </w:r>
          </w:p>
        </w:tc>
        <w:tc>
          <w:tcPr>
            <w:tcW w:type="dxa" w:w="2678"/>
            <w:vAlign w:val="center"/>
            <w:shd w:fill="FFF2CC"/>
          </w:tcPr>
          <w:p>
            <w:pPr>
              <w:spacing w:before="0" w:after="30" w:line="240" w:lineRule="auto"/>
            </w:pPr>
            <w:r>
              <w:rPr>
                <w:rFonts w:ascii="Arial" w:hAnsi="Arial"/>
                <w:b w:val="0"/>
                <w:color w:val="2D3741"/>
                <w:sz w:val="16"/>
              </w:rPr>
              <w:t>[COMPLETE]</w:t>
            </w:r>
          </w:p>
        </w:tc>
      </w:tr>
      <w:tr>
        <w:trPr>
          <w:cantSplit/>
        </w:trPr>
        <w:tc>
          <w:tcPr>
            <w:tcW w:type="dxa" w:w="2200"/>
            <w:vAlign w:val="center"/>
          </w:tcPr>
          <w:p>
            <w:pPr>
              <w:spacing w:before="0" w:after="30" w:line="240" w:lineRule="auto"/>
            </w:pPr>
            <w:r>
              <w:rPr>
                <w:rFonts w:ascii="Arial" w:hAnsi="Arial"/>
                <w:b w:val="0"/>
                <w:color w:val="2D3741"/>
                <w:sz w:val="16"/>
              </w:rPr>
              <w:t>Reclassification</w:t>
            </w:r>
          </w:p>
        </w:tc>
        <w:tc>
          <w:tcPr>
            <w:tcW w:type="dxa" w:w="5000"/>
            <w:vAlign w:val="center"/>
          </w:tcPr>
          <w:p>
            <w:pPr>
              <w:spacing w:before="0" w:after="30" w:line="240" w:lineRule="auto"/>
            </w:pPr>
            <w:r>
              <w:rPr>
                <w:rFonts w:ascii="Arial" w:hAnsi="Arial"/>
                <w:b w:val="0"/>
                <w:color w:val="2D3741"/>
                <w:sz w:val="16"/>
              </w:rPr>
              <w:t>If the incident never met the major criteria, notify the authority using the required type-of-report and other-information fields.</w:t>
            </w:r>
          </w:p>
        </w:tc>
        <w:tc>
          <w:tcPr>
            <w:tcW w:type="dxa" w:w="2678"/>
            <w:vAlign w:val="center"/>
            <w:shd w:fill="FFF2CC"/>
          </w:tcPr>
          <w:p>
            <w:pPr>
              <w:spacing w:before="0" w:after="30" w:line="240" w:lineRule="auto"/>
            </w:pPr>
            <w:r>
              <w:rPr>
                <w:rFonts w:ascii="Arial" w:hAnsi="Arial"/>
                <w:b w:val="0"/>
                <w:color w:val="2D3741"/>
                <w:sz w:val="16"/>
              </w:rPr>
              <w:t>[DECISION / APPROVAL / SUBMISSION]</w:t>
            </w:r>
          </w:p>
        </w:tc>
      </w:tr>
    </w:tbl>
    <w:p>
      <w:pPr>
        <w:spacing w:after="20"/>
      </w:pPr>
    </w:p>
    <w:p>
      <w:pPr>
        <w:pStyle w:val="Heading2"/>
        <w:keepNext/>
      </w:pPr>
      <w:r>
        <w:t>B9. Internal preparation and submission workflow</w:t>
      </w:r>
    </w:p>
    <w:tbl>
      <w:tblPr>
        <w:tblStyle w:val="TableGrid"/>
        <w:tblW w:type="dxa" w:w="9878"/>
        <w:tblLayout w:type="fixed"/>
        <w:tblLook w:firstColumn="1" w:firstRow="1" w:lastColumn="0" w:lastRow="0" w:noHBand="0" w:noVBand="1" w:val="04A0"/>
        <w:tblInd w:w="90" w:type="dxa"/>
      </w:tblPr>
      <w:tblGrid>
        <w:gridCol w:w="1900"/>
        <w:gridCol w:w="3000"/>
        <w:gridCol w:w="4978"/>
      </w:tblGrid>
      <w:tr>
        <w:trPr>
          <w:tblHeader w:val="true"/>
          <w:cantSplit/>
          <w:tblHeader w:val="true"/>
        </w:trPr>
        <w:tc>
          <w:tcPr>
            <w:tcW w:type="dxa" w:w="19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Stage</w:t>
            </w:r>
          </w:p>
        </w:tc>
        <w:tc>
          <w:tcPr>
            <w:tcW w:type="dxa" w:w="30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Owner</w:t>
            </w:r>
          </w:p>
        </w:tc>
        <w:tc>
          <w:tcPr>
            <w:tcW w:type="dxa" w:w="4978"/>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Completion test</w:t>
            </w:r>
          </w:p>
        </w:tc>
      </w:tr>
      <w:tr>
        <w:trPr>
          <w:cantSplit/>
        </w:trPr>
        <w:tc>
          <w:tcPr>
            <w:tcW w:type="dxa" w:w="1900"/>
            <w:vAlign w:val="center"/>
          </w:tcPr>
          <w:p>
            <w:pPr>
              <w:spacing w:before="0" w:after="30" w:line="240" w:lineRule="auto"/>
            </w:pPr>
            <w:r>
              <w:rPr>
                <w:rFonts w:ascii="Arial" w:hAnsi="Arial"/>
                <w:b w:val="0"/>
                <w:color w:val="2D3741"/>
                <w:sz w:val="16"/>
              </w:rPr>
              <w:t>Open report pack and freeze deadline</w:t>
            </w:r>
          </w:p>
        </w:tc>
        <w:tc>
          <w:tcPr>
            <w:tcW w:type="dxa" w:w="3000"/>
            <w:vAlign w:val="center"/>
          </w:tcPr>
          <w:p>
            <w:pPr>
              <w:spacing w:before="0" w:after="30" w:line="240" w:lineRule="auto"/>
            </w:pPr>
            <w:r>
              <w:rPr>
                <w:rFonts w:ascii="Arial" w:hAnsi="Arial"/>
                <w:b w:val="0"/>
                <w:color w:val="2D3741"/>
                <w:sz w:val="16"/>
              </w:rPr>
              <w:t>Compliance Lead</w:t>
            </w:r>
          </w:p>
        </w:tc>
        <w:tc>
          <w:tcPr>
            <w:tcW w:type="dxa" w:w="4978"/>
            <w:vAlign w:val="center"/>
          </w:tcPr>
          <w:p>
            <w:pPr>
              <w:spacing w:before="0" w:after="30" w:line="240" w:lineRule="auto"/>
            </w:pPr>
            <w:r>
              <w:rPr>
                <w:rFonts w:ascii="Arial" w:hAnsi="Arial"/>
                <w:b w:val="0"/>
                <w:color w:val="2D3741"/>
                <w:sz w:val="16"/>
              </w:rPr>
              <w:t>Report type, clock and authority channel recorded</w:t>
            </w:r>
          </w:p>
        </w:tc>
      </w:tr>
      <w:tr>
        <w:trPr>
          <w:cantSplit/>
        </w:trPr>
        <w:tc>
          <w:tcPr>
            <w:tcW w:type="dxa" w:w="1900"/>
            <w:vAlign w:val="center"/>
          </w:tcPr>
          <w:p>
            <w:pPr>
              <w:spacing w:before="0" w:after="30" w:line="240" w:lineRule="auto"/>
            </w:pPr>
            <w:r>
              <w:rPr>
                <w:rFonts w:ascii="Arial" w:hAnsi="Arial"/>
                <w:b w:val="0"/>
                <w:color w:val="2D3741"/>
                <w:sz w:val="16"/>
              </w:rPr>
              <w:t>Populate facts and estimates</w:t>
            </w:r>
          </w:p>
        </w:tc>
        <w:tc>
          <w:tcPr>
            <w:tcW w:type="dxa" w:w="3000"/>
            <w:vAlign w:val="center"/>
          </w:tcPr>
          <w:p>
            <w:pPr>
              <w:spacing w:before="0" w:after="30" w:line="240" w:lineRule="auto"/>
            </w:pPr>
            <w:r>
              <w:rPr>
                <w:rFonts w:ascii="Arial" w:hAnsi="Arial"/>
                <w:b w:val="0"/>
                <w:color w:val="2D3741"/>
                <w:sz w:val="16"/>
              </w:rPr>
              <w:t>Incident Manager / Technical Lead / Business Owner</w:t>
            </w:r>
          </w:p>
        </w:tc>
        <w:tc>
          <w:tcPr>
            <w:tcW w:type="dxa" w:w="4978"/>
            <w:vAlign w:val="center"/>
          </w:tcPr>
          <w:p>
            <w:pPr>
              <w:spacing w:before="0" w:after="30" w:line="240" w:lineRule="auto"/>
            </w:pPr>
            <w:r>
              <w:rPr>
                <w:rFonts w:ascii="Arial" w:hAnsi="Arial"/>
                <w:b w:val="0"/>
                <w:color w:val="2D3741"/>
                <w:sz w:val="16"/>
              </w:rPr>
              <w:t>Each field has an entry, estimate or reasoned N/A</w:t>
            </w:r>
          </w:p>
        </w:tc>
      </w:tr>
      <w:tr>
        <w:trPr>
          <w:cantSplit/>
        </w:trPr>
        <w:tc>
          <w:tcPr>
            <w:tcW w:type="dxa" w:w="1900"/>
            <w:vAlign w:val="center"/>
          </w:tcPr>
          <w:p>
            <w:pPr>
              <w:spacing w:before="0" w:after="30" w:line="240" w:lineRule="auto"/>
            </w:pPr>
            <w:r>
              <w:rPr>
                <w:rFonts w:ascii="Arial" w:hAnsi="Arial"/>
                <w:b w:val="0"/>
                <w:color w:val="2D3741"/>
                <w:sz w:val="16"/>
              </w:rPr>
              <w:t>Legal and classification review</w:t>
            </w:r>
          </w:p>
        </w:tc>
        <w:tc>
          <w:tcPr>
            <w:tcW w:type="dxa" w:w="3000"/>
            <w:vAlign w:val="center"/>
          </w:tcPr>
          <w:p>
            <w:pPr>
              <w:spacing w:before="0" w:after="30" w:line="240" w:lineRule="auto"/>
            </w:pPr>
            <w:r>
              <w:rPr>
                <w:rFonts w:ascii="Arial" w:hAnsi="Arial"/>
                <w:b w:val="0"/>
                <w:color w:val="2D3741"/>
                <w:sz w:val="16"/>
              </w:rPr>
              <w:t>Compliance / Legal</w:t>
            </w:r>
          </w:p>
        </w:tc>
        <w:tc>
          <w:tcPr>
            <w:tcW w:type="dxa" w:w="4978"/>
            <w:vAlign w:val="center"/>
          </w:tcPr>
          <w:p>
            <w:pPr>
              <w:spacing w:before="0" w:after="30" w:line="240" w:lineRule="auto"/>
            </w:pPr>
            <w:r>
              <w:rPr>
                <w:rFonts w:ascii="Arial" w:hAnsi="Arial"/>
                <w:b w:val="0"/>
                <w:color w:val="2D3741"/>
                <w:sz w:val="16"/>
              </w:rPr>
              <w:t>Major classification and report scope remain supported</w:t>
            </w:r>
          </w:p>
        </w:tc>
      </w:tr>
      <w:tr>
        <w:trPr>
          <w:cantSplit/>
        </w:trPr>
        <w:tc>
          <w:tcPr>
            <w:tcW w:type="dxa" w:w="1900"/>
            <w:vAlign w:val="center"/>
          </w:tcPr>
          <w:p>
            <w:pPr>
              <w:spacing w:before="0" w:after="30" w:line="240" w:lineRule="auto"/>
            </w:pPr>
            <w:r>
              <w:rPr>
                <w:rFonts w:ascii="Arial" w:hAnsi="Arial"/>
                <w:b w:val="0"/>
                <w:color w:val="2D3741"/>
                <w:sz w:val="16"/>
              </w:rPr>
              <w:t>Management approval</w:t>
            </w:r>
          </w:p>
        </w:tc>
        <w:tc>
          <w:tcPr>
            <w:tcW w:type="dxa" w:w="3000"/>
            <w:vAlign w:val="center"/>
          </w:tcPr>
          <w:p>
            <w:pPr>
              <w:spacing w:before="0" w:after="30" w:line="240" w:lineRule="auto"/>
            </w:pPr>
            <w:r>
              <w:rPr>
                <w:rFonts w:ascii="Arial" w:hAnsi="Arial"/>
                <w:b w:val="0"/>
                <w:color w:val="2D3741"/>
                <w:sz w:val="16"/>
              </w:rPr>
              <w:t>Authorised approver</w:t>
            </w:r>
          </w:p>
        </w:tc>
        <w:tc>
          <w:tcPr>
            <w:tcW w:type="dxa" w:w="4978"/>
            <w:vAlign w:val="center"/>
          </w:tcPr>
          <w:p>
            <w:pPr>
              <w:spacing w:before="0" w:after="30" w:line="240" w:lineRule="auto"/>
            </w:pPr>
            <w:r>
              <w:rPr>
                <w:rFonts w:ascii="Arial" w:hAnsi="Arial"/>
                <w:b w:val="0"/>
                <w:color w:val="2D3741"/>
                <w:sz w:val="16"/>
              </w:rPr>
              <w:t>Submission approved with known uncertainties</w:t>
            </w:r>
          </w:p>
        </w:tc>
      </w:tr>
      <w:tr>
        <w:trPr>
          <w:cantSplit/>
        </w:trPr>
        <w:tc>
          <w:tcPr>
            <w:tcW w:type="dxa" w:w="1900"/>
            <w:vAlign w:val="center"/>
          </w:tcPr>
          <w:p>
            <w:pPr>
              <w:spacing w:before="0" w:after="30" w:line="240" w:lineRule="auto"/>
            </w:pPr>
            <w:r>
              <w:rPr>
                <w:rFonts w:ascii="Arial" w:hAnsi="Arial"/>
                <w:b w:val="0"/>
                <w:color w:val="2D3741"/>
                <w:sz w:val="16"/>
              </w:rPr>
              <w:t>Submit through secure channel</w:t>
            </w:r>
          </w:p>
        </w:tc>
        <w:tc>
          <w:tcPr>
            <w:tcW w:type="dxa" w:w="3000"/>
            <w:vAlign w:val="center"/>
          </w:tcPr>
          <w:p>
            <w:pPr>
              <w:spacing w:before="0" w:after="30" w:line="240" w:lineRule="auto"/>
            </w:pPr>
            <w:r>
              <w:rPr>
                <w:rFonts w:ascii="Arial" w:hAnsi="Arial"/>
                <w:b w:val="0"/>
                <w:color w:val="2D3741"/>
                <w:sz w:val="16"/>
              </w:rPr>
              <w:t>Authorised submitter</w:t>
            </w:r>
          </w:p>
        </w:tc>
        <w:tc>
          <w:tcPr>
            <w:tcW w:type="dxa" w:w="4978"/>
            <w:vAlign w:val="center"/>
          </w:tcPr>
          <w:p>
            <w:pPr>
              <w:spacing w:before="0" w:after="30" w:line="240" w:lineRule="auto"/>
            </w:pPr>
            <w:r>
              <w:rPr>
                <w:rFonts w:ascii="Arial" w:hAnsi="Arial"/>
                <w:b w:val="0"/>
                <w:color w:val="2D3741"/>
                <w:sz w:val="16"/>
              </w:rPr>
              <w:t>Current Central Bank template successfully transmitted</w:t>
            </w:r>
          </w:p>
        </w:tc>
      </w:tr>
      <w:tr>
        <w:trPr>
          <w:cantSplit/>
        </w:trPr>
        <w:tc>
          <w:tcPr>
            <w:tcW w:type="dxa" w:w="1900"/>
            <w:vAlign w:val="center"/>
          </w:tcPr>
          <w:p>
            <w:pPr>
              <w:spacing w:before="0" w:after="30" w:line="240" w:lineRule="auto"/>
            </w:pPr>
            <w:r>
              <w:rPr>
                <w:rFonts w:ascii="Arial" w:hAnsi="Arial"/>
                <w:b w:val="0"/>
                <w:color w:val="2D3741"/>
                <w:sz w:val="16"/>
              </w:rPr>
              <w:t>Retain evidence</w:t>
            </w:r>
          </w:p>
        </w:tc>
        <w:tc>
          <w:tcPr>
            <w:tcW w:type="dxa" w:w="3000"/>
            <w:vAlign w:val="center"/>
          </w:tcPr>
          <w:p>
            <w:pPr>
              <w:spacing w:before="0" w:after="30" w:line="240" w:lineRule="auto"/>
            </w:pPr>
            <w:r>
              <w:rPr>
                <w:rFonts w:ascii="Arial" w:hAnsi="Arial"/>
                <w:b w:val="0"/>
                <w:color w:val="2D3741"/>
                <w:sz w:val="16"/>
              </w:rPr>
              <w:t>Compliance Lead</w:t>
            </w:r>
          </w:p>
        </w:tc>
        <w:tc>
          <w:tcPr>
            <w:tcW w:type="dxa" w:w="4978"/>
            <w:vAlign w:val="center"/>
          </w:tcPr>
          <w:p>
            <w:pPr>
              <w:spacing w:before="0" w:after="30" w:line="240" w:lineRule="auto"/>
            </w:pPr>
            <w:r>
              <w:rPr>
                <w:rFonts w:ascii="Arial" w:hAnsi="Arial"/>
                <w:b w:val="0"/>
                <w:color w:val="2D3741"/>
                <w:sz w:val="16"/>
              </w:rPr>
              <w:t>Submitted file, receipt, timestamp and communications saved</w:t>
            </w:r>
          </w:p>
        </w:tc>
      </w:tr>
      <w:tr>
        <w:trPr>
          <w:cantSplit/>
        </w:trPr>
        <w:tc>
          <w:tcPr>
            <w:tcW w:type="dxa" w:w="1900"/>
            <w:vAlign w:val="center"/>
          </w:tcPr>
          <w:p>
            <w:pPr>
              <w:spacing w:before="0" w:after="30" w:line="240" w:lineRule="auto"/>
            </w:pPr>
            <w:r>
              <w:rPr>
                <w:rFonts w:ascii="Arial" w:hAnsi="Arial"/>
                <w:b w:val="0"/>
                <w:color w:val="2D3741"/>
                <w:sz w:val="16"/>
              </w:rPr>
              <w:t>Control next deadline</w:t>
            </w:r>
          </w:p>
        </w:tc>
        <w:tc>
          <w:tcPr>
            <w:tcW w:type="dxa" w:w="3000"/>
            <w:vAlign w:val="center"/>
          </w:tcPr>
          <w:p>
            <w:pPr>
              <w:spacing w:before="0" w:after="30" w:line="240" w:lineRule="auto"/>
            </w:pPr>
            <w:r>
              <w:rPr>
                <w:rFonts w:ascii="Arial" w:hAnsi="Arial"/>
                <w:b w:val="0"/>
                <w:color w:val="2D3741"/>
                <w:sz w:val="16"/>
              </w:rPr>
              <w:t>Compliance Lead</w:t>
            </w:r>
          </w:p>
        </w:tc>
        <w:tc>
          <w:tcPr>
            <w:tcW w:type="dxa" w:w="4978"/>
            <w:vAlign w:val="center"/>
          </w:tcPr>
          <w:p>
            <w:pPr>
              <w:spacing w:before="0" w:after="30" w:line="240" w:lineRule="auto"/>
            </w:pPr>
            <w:r>
              <w:rPr>
                <w:rFonts w:ascii="Arial" w:hAnsi="Arial"/>
                <w:b w:val="0"/>
                <w:color w:val="2D3741"/>
                <w:sz w:val="16"/>
              </w:rPr>
              <w:t>Next report/follow-up owner and due time set</w:t>
            </w:r>
          </w:p>
        </w:tc>
      </w:tr>
    </w:tbl>
    <w:p>
      <w:pPr>
        <w:spacing w:after="20"/>
      </w:pPr>
    </w:p>
    <w:p>
      <w:pPr>
        <w:pStyle w:val="Heading2"/>
        <w:keepNext/>
      </w:pPr>
      <w:r>
        <w:t>B10. Combined, outsourced and aggregated reporting</w:t>
      </w:r>
    </w:p>
    <w:tbl>
      <w:tblPr>
        <w:tblStyle w:val="TableGrid"/>
        <w:tblW w:type="dxa" w:w="9878"/>
        <w:tblLayout w:type="fixed"/>
        <w:tblLook w:firstColumn="1" w:firstRow="1" w:lastColumn="0" w:lastRow="0" w:noHBand="0" w:noVBand="1" w:val="04A0"/>
        <w:tblInd w:w="90" w:type="dxa"/>
      </w:tblPr>
      <w:tblGrid>
        <w:gridCol w:w="2900"/>
        <w:gridCol w:w="6978"/>
      </w:tblGrid>
      <w:tr>
        <w:trPr>
          <w:tblHeader w:val="true"/>
          <w:cantSplit/>
          <w:tblHeader w:val="true"/>
        </w:trPr>
        <w:tc>
          <w:tcPr>
            <w:tcW w:type="dxa" w:w="29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Scenario</w:t>
            </w:r>
          </w:p>
        </w:tc>
        <w:tc>
          <w:tcPr>
            <w:tcW w:type="dxa" w:w="6978"/>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Decision and control record</w:t>
            </w:r>
          </w:p>
        </w:tc>
      </w:tr>
      <w:tr>
        <w:trPr>
          <w:cantSplit/>
        </w:trPr>
        <w:tc>
          <w:tcPr>
            <w:tcW w:type="dxa" w:w="2900"/>
            <w:vAlign w:val="center"/>
          </w:tcPr>
          <w:p>
            <w:pPr>
              <w:spacing w:before="0" w:after="30" w:line="240" w:lineRule="auto"/>
            </w:pPr>
            <w:r>
              <w:rPr>
                <w:rFonts w:ascii="Arial" w:hAnsi="Arial"/>
                <w:b w:val="0"/>
                <w:color w:val="2D3741"/>
                <w:sz w:val="16"/>
              </w:rPr>
              <w:t>Combined stages</w:t>
            </w:r>
          </w:p>
        </w:tc>
        <w:tc>
          <w:tcPr>
            <w:tcW w:type="dxa" w:w="6978"/>
            <w:vAlign w:val="center"/>
            <w:shd w:fill="FFF2CC"/>
          </w:tcPr>
          <w:p>
            <w:pPr>
              <w:spacing w:before="0" w:after="30" w:line="240" w:lineRule="auto"/>
            </w:pPr>
            <w:r>
              <w:rPr>
                <w:rFonts w:ascii="Arial" w:hAnsi="Arial"/>
                <w:b w:val="0"/>
                <w:color w:val="2D3741"/>
                <w:sz w:val="16"/>
              </w:rPr>
              <w:t>Two or all report stages may be submitted together only where regular activities have recovered or root-cause analysis is complete and every applicable deadline is met.</w:t>
            </w:r>
          </w:p>
        </w:tc>
      </w:tr>
      <w:tr>
        <w:trPr>
          <w:cantSplit/>
        </w:trPr>
        <w:tc>
          <w:tcPr>
            <w:tcW w:type="dxa" w:w="2900"/>
            <w:vAlign w:val="center"/>
          </w:tcPr>
          <w:p>
            <w:pPr>
              <w:spacing w:before="0" w:after="30" w:line="240" w:lineRule="auto"/>
            </w:pPr>
            <w:r>
              <w:rPr>
                <w:rFonts w:ascii="Arial" w:hAnsi="Arial"/>
                <w:b w:val="0"/>
                <w:color w:val="2D3741"/>
                <w:sz w:val="16"/>
              </w:rPr>
              <w:t>Outsourced reporting</w:t>
            </w:r>
          </w:p>
        </w:tc>
        <w:tc>
          <w:tcPr>
            <w:tcW w:type="dxa" w:w="6978"/>
            <w:vAlign w:val="center"/>
            <w:shd w:fill="FFF2CC"/>
          </w:tcPr>
          <w:p>
            <w:pPr>
              <w:spacing w:before="0" w:after="30" w:line="240" w:lineRule="auto"/>
            </w:pPr>
            <w:r>
              <w:rPr>
                <w:rFonts w:ascii="Arial" w:hAnsi="Arial"/>
                <w:b w:val="0"/>
                <w:color w:val="2D3741"/>
                <w:sz w:val="16"/>
              </w:rPr>
              <w:t>Notify the authority of the arrangement before the first outsourced report; retain provider name, contact details and identification code, internal approval and fallback capability.</w:t>
            </w:r>
          </w:p>
        </w:tc>
      </w:tr>
      <w:tr>
        <w:trPr>
          <w:cantSplit/>
        </w:trPr>
        <w:tc>
          <w:tcPr>
            <w:tcW w:type="dxa" w:w="2900"/>
            <w:vAlign w:val="center"/>
          </w:tcPr>
          <w:p>
            <w:pPr>
              <w:spacing w:before="0" w:after="30" w:line="240" w:lineRule="auto"/>
            </w:pPr>
            <w:r>
              <w:rPr>
                <w:rFonts w:ascii="Arial" w:hAnsi="Arial"/>
                <w:b w:val="0"/>
                <w:color w:val="2D3741"/>
                <w:sz w:val="16"/>
              </w:rPr>
              <w:t>Aggregated third-party report</w:t>
            </w:r>
          </w:p>
        </w:tc>
        <w:tc>
          <w:tcPr>
            <w:tcW w:type="dxa" w:w="6978"/>
            <w:vAlign w:val="center"/>
            <w:shd w:fill="FFF2CC"/>
          </w:tcPr>
          <w:p>
            <w:pPr>
              <w:spacing w:before="0" w:after="30" w:line="240" w:lineRule="auto"/>
            </w:pPr>
            <w:r>
              <w:rPr>
                <w:rFonts w:ascii="Arial" w:hAnsi="Arial"/>
                <w:b w:val="0"/>
                <w:color w:val="2D3741"/>
                <w:sz w:val="16"/>
              </w:rPr>
              <w:t>Use only if every ITS 2025/302 Article 7 condition is met and the competent authority has expressly permitted aggregation for the relevant entity type.</w:t>
            </w:r>
          </w:p>
        </w:tc>
      </w:tr>
      <w:tr>
        <w:trPr>
          <w:cantSplit/>
        </w:trPr>
        <w:tc>
          <w:tcPr>
            <w:tcW w:type="dxa" w:w="2900"/>
            <w:vAlign w:val="center"/>
          </w:tcPr>
          <w:p>
            <w:pPr>
              <w:spacing w:before="0" w:after="30" w:line="240" w:lineRule="auto"/>
            </w:pPr>
            <w:r>
              <w:rPr>
                <w:rFonts w:ascii="Arial" w:hAnsi="Arial"/>
                <w:b w:val="0"/>
                <w:color w:val="2D3741"/>
                <w:sz w:val="16"/>
              </w:rPr>
              <w:t>Secure-channel failure</w:t>
            </w:r>
          </w:p>
        </w:tc>
        <w:tc>
          <w:tcPr>
            <w:tcW w:type="dxa" w:w="6978"/>
            <w:vAlign w:val="center"/>
            <w:shd w:fill="FFF2CC"/>
          </w:tcPr>
          <w:p>
            <w:pPr>
              <w:spacing w:before="0" w:after="30" w:line="240" w:lineRule="auto"/>
            </w:pPr>
            <w:r>
              <w:rPr>
                <w:rFonts w:ascii="Arial" w:hAnsi="Arial"/>
                <w:b w:val="0"/>
                <w:color w:val="2D3741"/>
                <w:sz w:val="16"/>
              </w:rPr>
              <w:t>Contact the authority through agreed secure means, document the agreement and resubmit through the normal channel if required.</w:t>
            </w:r>
          </w:p>
        </w:tc>
      </w:tr>
    </w:tbl>
    <w:p>
      <w:pPr>
        <w:spacing w:after="20"/>
      </w:pPr>
    </w:p>
    <w:p>
      <w:pPr>
        <w:pStyle w:val="Heading2"/>
        <w:keepNext/>
      </w:pPr>
      <w:r>
        <w:t>B11. Submission and acknowledgement log</w:t>
      </w:r>
    </w:p>
    <w:tbl>
      <w:tblPr>
        <w:tblStyle w:val="TableGrid"/>
        <w:tblW w:type="dxa" w:w="9878"/>
        <w:tblLayout w:type="fixed"/>
        <w:tblLook w:firstColumn="1" w:firstRow="1" w:lastColumn="0" w:lastRow="0" w:noHBand="0" w:noVBand="1" w:val="04A0"/>
        <w:tblInd w:w="90" w:type="dxa"/>
      </w:tblPr>
      <w:tblGrid>
        <w:gridCol w:w="1600"/>
        <w:gridCol w:w="1800"/>
        <w:gridCol w:w="2100"/>
        <w:gridCol w:w="2200"/>
        <w:gridCol w:w="2178"/>
      </w:tblGrid>
      <w:tr>
        <w:trPr>
          <w:tblHeader w:val="true"/>
          <w:cantSplit/>
          <w:tblHeader w:val="true"/>
        </w:trPr>
        <w:tc>
          <w:tcPr>
            <w:tcW w:type="dxa" w:w="16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Report / notice</w:t>
            </w:r>
          </w:p>
        </w:tc>
        <w:tc>
          <w:tcPr>
            <w:tcW w:type="dxa" w:w="18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Deadline</w:t>
            </w:r>
          </w:p>
        </w:tc>
        <w:tc>
          <w:tcPr>
            <w:tcW w:type="dxa" w:w="21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Submitted</w:t>
            </w:r>
          </w:p>
        </w:tc>
        <w:tc>
          <w:tcPr>
            <w:tcW w:type="dxa" w:w="22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Portal / fallback reference</w:t>
            </w:r>
          </w:p>
        </w:tc>
        <w:tc>
          <w:tcPr>
            <w:tcW w:type="dxa" w:w="2178"/>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Acknowledged / next action</w:t>
            </w:r>
          </w:p>
        </w:tc>
      </w:tr>
      <w:tr>
        <w:trPr>
          <w:cantSplit/>
        </w:trPr>
        <w:tc>
          <w:tcPr>
            <w:tcW w:type="dxa" w:w="1600"/>
            <w:vAlign w:val="center"/>
            <w:shd w:fill="FFF2CC"/>
          </w:tcPr>
          <w:p>
            <w:pPr>
              <w:spacing w:before="0" w:after="30" w:line="240" w:lineRule="auto"/>
            </w:pPr>
            <w:r>
              <w:rPr>
                <w:rFonts w:ascii="Arial" w:hAnsi="Arial"/>
                <w:b w:val="0"/>
                <w:color w:val="2D3741"/>
                <w:sz w:val="16"/>
              </w:rPr>
              <w:t>[TYPE]</w:t>
            </w:r>
          </w:p>
        </w:tc>
        <w:tc>
          <w:tcPr>
            <w:tcW w:type="dxa" w:w="1800"/>
            <w:vAlign w:val="center"/>
            <w:shd w:fill="FFF2CC"/>
          </w:tcPr>
          <w:p>
            <w:pPr>
              <w:spacing w:before="0" w:after="30" w:line="240" w:lineRule="auto"/>
            </w:pPr>
            <w:r>
              <w:rPr>
                <w:rFonts w:ascii="Arial" w:hAnsi="Arial"/>
                <w:b w:val="0"/>
                <w:color w:val="2D3741"/>
                <w:sz w:val="16"/>
              </w:rPr>
              <w:t>[DATE / TIME]</w:t>
            </w:r>
          </w:p>
        </w:tc>
        <w:tc>
          <w:tcPr>
            <w:tcW w:type="dxa" w:w="2100"/>
            <w:vAlign w:val="center"/>
            <w:shd w:fill="FFF2CC"/>
          </w:tcPr>
          <w:p>
            <w:pPr>
              <w:spacing w:before="0" w:after="30" w:line="240" w:lineRule="auto"/>
            </w:pPr>
            <w:r>
              <w:rPr>
                <w:rFonts w:ascii="Arial" w:hAnsi="Arial"/>
                <w:b w:val="0"/>
                <w:color w:val="2D3741"/>
                <w:sz w:val="16"/>
              </w:rPr>
              <w:t>[DATE / TIME / USER]</w:t>
            </w:r>
          </w:p>
        </w:tc>
        <w:tc>
          <w:tcPr>
            <w:tcW w:type="dxa" w:w="2200"/>
            <w:vAlign w:val="center"/>
            <w:shd w:fill="FFF2CC"/>
          </w:tcPr>
          <w:p>
            <w:pPr>
              <w:spacing w:before="0" w:after="30" w:line="240" w:lineRule="auto"/>
            </w:pPr>
            <w:r>
              <w:rPr>
                <w:rFonts w:ascii="Arial" w:hAnsi="Arial"/>
                <w:b w:val="0"/>
                <w:color w:val="2D3741"/>
                <w:sz w:val="16"/>
              </w:rPr>
              <w:t>[REFERENCE]</w:t>
            </w:r>
          </w:p>
        </w:tc>
        <w:tc>
          <w:tcPr>
            <w:tcW w:type="dxa" w:w="2178"/>
            <w:vAlign w:val="center"/>
            <w:shd w:fill="FFF2CC"/>
          </w:tcPr>
          <w:p>
            <w:pPr>
              <w:spacing w:before="0" w:after="30" w:line="240" w:lineRule="auto"/>
            </w:pPr>
            <w:r>
              <w:rPr>
                <w:rFonts w:ascii="Arial" w:hAnsi="Arial"/>
                <w:b w:val="0"/>
                <w:color w:val="2D3741"/>
                <w:sz w:val="16"/>
              </w:rPr>
              <w:t>[DATE / ACTION]</w:t>
            </w:r>
          </w:p>
        </w:tc>
      </w:tr>
      <w:tr>
        <w:trPr>
          <w:cantSplit/>
        </w:trPr>
        <w:tc>
          <w:tcPr>
            <w:tcW w:type="dxa" w:w="1600"/>
            <w:vAlign w:val="center"/>
            <w:shd w:fill="FFF2CC"/>
          </w:tcPr>
          <w:p>
            <w:pPr>
              <w:spacing w:before="0" w:after="30" w:line="240" w:lineRule="auto"/>
            </w:pPr>
            <w:r>
              <w:rPr>
                <w:rFonts w:ascii="Arial" w:hAnsi="Arial"/>
                <w:b w:val="0"/>
                <w:color w:val="2D3741"/>
                <w:sz w:val="16"/>
              </w:rPr>
              <w:t>[TYPE]</w:t>
            </w:r>
          </w:p>
        </w:tc>
        <w:tc>
          <w:tcPr>
            <w:tcW w:type="dxa" w:w="1800"/>
            <w:vAlign w:val="center"/>
            <w:shd w:fill="FFF2CC"/>
          </w:tcPr>
          <w:p>
            <w:pPr>
              <w:spacing w:before="0" w:after="30" w:line="240" w:lineRule="auto"/>
            </w:pPr>
            <w:r>
              <w:rPr>
                <w:rFonts w:ascii="Arial" w:hAnsi="Arial"/>
                <w:b w:val="0"/>
                <w:color w:val="2D3741"/>
                <w:sz w:val="16"/>
              </w:rPr>
              <w:t>[DATE / TIME]</w:t>
            </w:r>
          </w:p>
        </w:tc>
        <w:tc>
          <w:tcPr>
            <w:tcW w:type="dxa" w:w="2100"/>
            <w:vAlign w:val="center"/>
            <w:shd w:fill="FFF2CC"/>
          </w:tcPr>
          <w:p>
            <w:pPr>
              <w:spacing w:before="0" w:after="30" w:line="240" w:lineRule="auto"/>
            </w:pPr>
            <w:r>
              <w:rPr>
                <w:rFonts w:ascii="Arial" w:hAnsi="Arial"/>
                <w:b w:val="0"/>
                <w:color w:val="2D3741"/>
                <w:sz w:val="16"/>
              </w:rPr>
              <w:t>[DATE / TIME / USER]</w:t>
            </w:r>
          </w:p>
        </w:tc>
        <w:tc>
          <w:tcPr>
            <w:tcW w:type="dxa" w:w="2200"/>
            <w:vAlign w:val="center"/>
            <w:shd w:fill="FFF2CC"/>
          </w:tcPr>
          <w:p>
            <w:pPr>
              <w:spacing w:before="0" w:after="30" w:line="240" w:lineRule="auto"/>
            </w:pPr>
            <w:r>
              <w:rPr>
                <w:rFonts w:ascii="Arial" w:hAnsi="Arial"/>
                <w:b w:val="0"/>
                <w:color w:val="2D3741"/>
                <w:sz w:val="16"/>
              </w:rPr>
              <w:t>[REFERENCE]</w:t>
            </w:r>
          </w:p>
        </w:tc>
        <w:tc>
          <w:tcPr>
            <w:tcW w:type="dxa" w:w="2178"/>
            <w:vAlign w:val="center"/>
            <w:shd w:fill="FFF2CC"/>
          </w:tcPr>
          <w:p>
            <w:pPr>
              <w:spacing w:before="0" w:after="30" w:line="240" w:lineRule="auto"/>
            </w:pPr>
            <w:r>
              <w:rPr>
                <w:rFonts w:ascii="Arial" w:hAnsi="Arial"/>
                <w:b w:val="0"/>
                <w:color w:val="2D3741"/>
                <w:sz w:val="16"/>
              </w:rPr>
              <w:t>[DATE / ACTION]</w:t>
            </w:r>
          </w:p>
        </w:tc>
      </w:tr>
      <w:tr>
        <w:trPr>
          <w:cantSplit/>
        </w:trPr>
        <w:tc>
          <w:tcPr>
            <w:tcW w:type="dxa" w:w="1600"/>
            <w:vAlign w:val="center"/>
            <w:shd w:fill="FFF2CC"/>
          </w:tcPr>
          <w:p>
            <w:pPr>
              <w:spacing w:before="0" w:after="30" w:line="240" w:lineRule="auto"/>
            </w:pPr>
            <w:r>
              <w:rPr>
                <w:rFonts w:ascii="Arial" w:hAnsi="Arial"/>
                <w:b w:val="0"/>
                <w:color w:val="2D3741"/>
                <w:sz w:val="16"/>
              </w:rPr>
              <w:t>[TYPE]</w:t>
            </w:r>
          </w:p>
        </w:tc>
        <w:tc>
          <w:tcPr>
            <w:tcW w:type="dxa" w:w="1800"/>
            <w:vAlign w:val="center"/>
            <w:shd w:fill="FFF2CC"/>
          </w:tcPr>
          <w:p>
            <w:pPr>
              <w:spacing w:before="0" w:after="30" w:line="240" w:lineRule="auto"/>
            </w:pPr>
            <w:r>
              <w:rPr>
                <w:rFonts w:ascii="Arial" w:hAnsi="Arial"/>
                <w:b w:val="0"/>
                <w:color w:val="2D3741"/>
                <w:sz w:val="16"/>
              </w:rPr>
              <w:t>[DATE / TIME]</w:t>
            </w:r>
          </w:p>
        </w:tc>
        <w:tc>
          <w:tcPr>
            <w:tcW w:type="dxa" w:w="2100"/>
            <w:vAlign w:val="center"/>
            <w:shd w:fill="FFF2CC"/>
          </w:tcPr>
          <w:p>
            <w:pPr>
              <w:spacing w:before="0" w:after="30" w:line="240" w:lineRule="auto"/>
            </w:pPr>
            <w:r>
              <w:rPr>
                <w:rFonts w:ascii="Arial" w:hAnsi="Arial"/>
                <w:b w:val="0"/>
                <w:color w:val="2D3741"/>
                <w:sz w:val="16"/>
              </w:rPr>
              <w:t>[DATE / TIME / USER]</w:t>
            </w:r>
          </w:p>
        </w:tc>
        <w:tc>
          <w:tcPr>
            <w:tcW w:type="dxa" w:w="2200"/>
            <w:vAlign w:val="center"/>
            <w:shd w:fill="FFF2CC"/>
          </w:tcPr>
          <w:p>
            <w:pPr>
              <w:spacing w:before="0" w:after="30" w:line="240" w:lineRule="auto"/>
            </w:pPr>
            <w:r>
              <w:rPr>
                <w:rFonts w:ascii="Arial" w:hAnsi="Arial"/>
                <w:b w:val="0"/>
                <w:color w:val="2D3741"/>
                <w:sz w:val="16"/>
              </w:rPr>
              <w:t>[REFERENCE]</w:t>
            </w:r>
          </w:p>
        </w:tc>
        <w:tc>
          <w:tcPr>
            <w:tcW w:type="dxa" w:w="2178"/>
            <w:vAlign w:val="center"/>
            <w:shd w:fill="FFF2CC"/>
          </w:tcPr>
          <w:p>
            <w:pPr>
              <w:spacing w:before="0" w:after="30" w:line="240" w:lineRule="auto"/>
            </w:pPr>
            <w:r>
              <w:rPr>
                <w:rFonts w:ascii="Arial" w:hAnsi="Arial"/>
                <w:b w:val="0"/>
                <w:color w:val="2D3741"/>
                <w:sz w:val="16"/>
              </w:rPr>
              <w:t>[DATE / ACTION]</w:t>
            </w:r>
          </w:p>
        </w:tc>
      </w:tr>
      <w:tr>
        <w:trPr>
          <w:cantSplit/>
        </w:trPr>
        <w:tc>
          <w:tcPr>
            <w:tcW w:type="dxa" w:w="1600"/>
            <w:vAlign w:val="center"/>
            <w:shd w:fill="FFF2CC"/>
          </w:tcPr>
          <w:p>
            <w:pPr>
              <w:spacing w:before="0" w:after="30" w:line="240" w:lineRule="auto"/>
            </w:pPr>
            <w:r>
              <w:rPr>
                <w:rFonts w:ascii="Arial" w:hAnsi="Arial"/>
                <w:b w:val="0"/>
                <w:color w:val="2D3741"/>
                <w:sz w:val="16"/>
              </w:rPr>
              <w:t>[TYPE]</w:t>
            </w:r>
          </w:p>
        </w:tc>
        <w:tc>
          <w:tcPr>
            <w:tcW w:type="dxa" w:w="1800"/>
            <w:vAlign w:val="center"/>
            <w:shd w:fill="FFF2CC"/>
          </w:tcPr>
          <w:p>
            <w:pPr>
              <w:spacing w:before="0" w:after="30" w:line="240" w:lineRule="auto"/>
            </w:pPr>
            <w:r>
              <w:rPr>
                <w:rFonts w:ascii="Arial" w:hAnsi="Arial"/>
                <w:b w:val="0"/>
                <w:color w:val="2D3741"/>
                <w:sz w:val="16"/>
              </w:rPr>
              <w:t>[DATE / TIME]</w:t>
            </w:r>
          </w:p>
        </w:tc>
        <w:tc>
          <w:tcPr>
            <w:tcW w:type="dxa" w:w="2100"/>
            <w:vAlign w:val="center"/>
            <w:shd w:fill="FFF2CC"/>
          </w:tcPr>
          <w:p>
            <w:pPr>
              <w:spacing w:before="0" w:after="30" w:line="240" w:lineRule="auto"/>
            </w:pPr>
            <w:r>
              <w:rPr>
                <w:rFonts w:ascii="Arial" w:hAnsi="Arial"/>
                <w:b w:val="0"/>
                <w:color w:val="2D3741"/>
                <w:sz w:val="16"/>
              </w:rPr>
              <w:t>[DATE / TIME / USER]</w:t>
            </w:r>
          </w:p>
        </w:tc>
        <w:tc>
          <w:tcPr>
            <w:tcW w:type="dxa" w:w="2200"/>
            <w:vAlign w:val="center"/>
            <w:shd w:fill="FFF2CC"/>
          </w:tcPr>
          <w:p>
            <w:pPr>
              <w:spacing w:before="0" w:after="30" w:line="240" w:lineRule="auto"/>
            </w:pPr>
            <w:r>
              <w:rPr>
                <w:rFonts w:ascii="Arial" w:hAnsi="Arial"/>
                <w:b w:val="0"/>
                <w:color w:val="2D3741"/>
                <w:sz w:val="16"/>
              </w:rPr>
              <w:t>[REFERENCE]</w:t>
            </w:r>
          </w:p>
        </w:tc>
        <w:tc>
          <w:tcPr>
            <w:tcW w:type="dxa" w:w="2178"/>
            <w:vAlign w:val="center"/>
            <w:shd w:fill="FFF2CC"/>
          </w:tcPr>
          <w:p>
            <w:pPr>
              <w:spacing w:before="0" w:after="30" w:line="240" w:lineRule="auto"/>
            </w:pPr>
            <w:r>
              <w:rPr>
                <w:rFonts w:ascii="Arial" w:hAnsi="Arial"/>
                <w:b w:val="0"/>
                <w:color w:val="2D3741"/>
                <w:sz w:val="16"/>
              </w:rPr>
              <w:t>[DATE / ACTION]</w:t>
            </w:r>
          </w:p>
        </w:tc>
      </w:tr>
    </w:tbl>
    <w:p>
      <w:pPr>
        <w:spacing w:after="20"/>
      </w:pPr>
    </w:p>
    <w:p>
      <w:pPr>
        <w:pStyle w:val="Heading2"/>
        <w:keepNext/>
      </w:pPr>
      <w:r>
        <w:t>B12. Authority follow-up and close-out</w:t>
      </w:r>
    </w:p>
    <w:tbl>
      <w:tblPr>
        <w:tblStyle w:val="TableGrid"/>
        <w:tblW w:type="dxa" w:w="9878"/>
        <w:tblLayout w:type="fixed"/>
        <w:tblLook w:firstColumn="1" w:firstRow="1" w:lastColumn="0" w:lastRow="0" w:noHBand="0" w:noVBand="1" w:val="04A0"/>
        <w:tblInd w:w="90" w:type="dxa"/>
      </w:tblPr>
      <w:tblGrid>
        <w:gridCol w:w="4200"/>
        <w:gridCol w:w="5678"/>
      </w:tblGrid>
      <w:tr>
        <w:trPr>
          <w:tblHeader w:val="true"/>
          <w:cantSplit/>
          <w:tblHeader w:val="true"/>
        </w:trPr>
        <w:tc>
          <w:tcPr>
            <w:tcW w:type="dxa" w:w="42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Control</w:t>
            </w:r>
          </w:p>
        </w:tc>
        <w:tc>
          <w:tcPr>
            <w:tcW w:type="dxa" w:w="5678"/>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Record</w:t>
            </w:r>
          </w:p>
        </w:tc>
      </w:tr>
      <w:tr>
        <w:trPr>
          <w:cantSplit/>
        </w:trPr>
        <w:tc>
          <w:tcPr>
            <w:tcW w:type="dxa" w:w="4200"/>
            <w:vAlign w:val="center"/>
          </w:tcPr>
          <w:p>
            <w:pPr>
              <w:spacing w:before="0" w:after="30" w:line="240" w:lineRule="auto"/>
            </w:pPr>
            <w:r>
              <w:rPr>
                <w:rFonts w:ascii="Arial" w:hAnsi="Arial"/>
                <w:b w:val="0"/>
                <w:color w:val="2D3741"/>
                <w:sz w:val="16"/>
              </w:rPr>
              <w:t>Authority questions, requests and deadlines</w:t>
            </w:r>
          </w:p>
        </w:tc>
        <w:tc>
          <w:tcPr>
            <w:tcW w:type="dxa" w:w="5678"/>
            <w:vAlign w:val="center"/>
            <w:shd w:fill="FFF2CC"/>
          </w:tcPr>
          <w:p>
            <w:pPr>
              <w:spacing w:before="0" w:after="30" w:line="240" w:lineRule="auto"/>
            </w:pPr>
            <w:r>
              <w:rPr>
                <w:rFonts w:ascii="Arial" w:hAnsi="Arial"/>
                <w:b w:val="0"/>
                <w:color w:val="2D3741"/>
                <w:sz w:val="16"/>
              </w:rPr>
              <w:t>[QUESTION / OWNER / DUE / RESPONSE]</w:t>
            </w:r>
          </w:p>
        </w:tc>
      </w:tr>
      <w:tr>
        <w:trPr>
          <w:cantSplit/>
        </w:trPr>
        <w:tc>
          <w:tcPr>
            <w:tcW w:type="dxa" w:w="4200"/>
            <w:vAlign w:val="center"/>
          </w:tcPr>
          <w:p>
            <w:pPr>
              <w:spacing w:before="0" w:after="30" w:line="240" w:lineRule="auto"/>
            </w:pPr>
            <w:r>
              <w:rPr>
                <w:rFonts w:ascii="Arial" w:hAnsi="Arial"/>
                <w:b w:val="0"/>
                <w:color w:val="2D3741"/>
                <w:sz w:val="16"/>
              </w:rPr>
              <w:t>Supplemental information submitted</w:t>
            </w:r>
          </w:p>
        </w:tc>
        <w:tc>
          <w:tcPr>
            <w:tcW w:type="dxa" w:w="5678"/>
            <w:vAlign w:val="center"/>
            <w:shd w:fill="FFF2CC"/>
          </w:tcPr>
          <w:p>
            <w:pPr>
              <w:spacing w:before="0" w:after="30" w:line="240" w:lineRule="auto"/>
            </w:pPr>
            <w:r>
              <w:rPr>
                <w:rFonts w:ascii="Arial" w:hAnsi="Arial"/>
                <w:b w:val="0"/>
                <w:color w:val="2D3741"/>
                <w:sz w:val="16"/>
              </w:rPr>
              <w:t>[FILE / TIME / REFERENCE]</w:t>
            </w:r>
          </w:p>
        </w:tc>
      </w:tr>
      <w:tr>
        <w:trPr>
          <w:cantSplit/>
        </w:trPr>
        <w:tc>
          <w:tcPr>
            <w:tcW w:type="dxa" w:w="4200"/>
            <w:vAlign w:val="center"/>
          </w:tcPr>
          <w:p>
            <w:pPr>
              <w:spacing w:before="0" w:after="30" w:line="240" w:lineRule="auto"/>
            </w:pPr>
            <w:r>
              <w:rPr>
                <w:rFonts w:ascii="Arial" w:hAnsi="Arial"/>
                <w:b w:val="0"/>
                <w:color w:val="2D3741"/>
                <w:sz w:val="16"/>
              </w:rPr>
              <w:t>Client and stakeholder communication coordination</w:t>
            </w:r>
          </w:p>
        </w:tc>
        <w:tc>
          <w:tcPr>
            <w:tcW w:type="dxa" w:w="5678"/>
            <w:vAlign w:val="center"/>
            <w:shd w:fill="FFF2CC"/>
          </w:tcPr>
          <w:p>
            <w:pPr>
              <w:spacing w:before="0" w:after="30" w:line="240" w:lineRule="auto"/>
            </w:pPr>
            <w:r>
              <w:rPr>
                <w:rFonts w:ascii="Arial" w:hAnsi="Arial"/>
                <w:b w:val="0"/>
                <w:color w:val="2D3741"/>
                <w:sz w:val="16"/>
              </w:rPr>
              <w:t>[DECISION / MESSAGE / TIME]</w:t>
            </w:r>
          </w:p>
        </w:tc>
      </w:tr>
      <w:tr>
        <w:trPr>
          <w:cantSplit/>
        </w:trPr>
        <w:tc>
          <w:tcPr>
            <w:tcW w:type="dxa" w:w="4200"/>
            <w:vAlign w:val="center"/>
          </w:tcPr>
          <w:p>
            <w:pPr>
              <w:spacing w:before="0" w:after="30" w:line="240" w:lineRule="auto"/>
            </w:pPr>
            <w:r>
              <w:rPr>
                <w:rFonts w:ascii="Arial" w:hAnsi="Arial"/>
                <w:b w:val="0"/>
                <w:color w:val="2D3741"/>
                <w:sz w:val="16"/>
              </w:rPr>
              <w:t>Other regulatory or contractual notifications</w:t>
            </w:r>
          </w:p>
        </w:tc>
        <w:tc>
          <w:tcPr>
            <w:tcW w:type="dxa" w:w="5678"/>
            <w:vAlign w:val="center"/>
            <w:shd w:fill="FFF2CC"/>
          </w:tcPr>
          <w:p>
            <w:pPr>
              <w:spacing w:before="0" w:after="30" w:line="240" w:lineRule="auto"/>
            </w:pPr>
            <w:r>
              <w:rPr>
                <w:rFonts w:ascii="Arial" w:hAnsi="Arial"/>
                <w:b w:val="0"/>
                <w:color w:val="2D3741"/>
                <w:sz w:val="16"/>
              </w:rPr>
              <w:t>[AUTHORITY / BASIS / TIME / REFERENCE]</w:t>
            </w:r>
          </w:p>
        </w:tc>
      </w:tr>
      <w:tr>
        <w:trPr>
          <w:cantSplit/>
        </w:trPr>
        <w:tc>
          <w:tcPr>
            <w:tcW w:type="dxa" w:w="4200"/>
            <w:vAlign w:val="center"/>
          </w:tcPr>
          <w:p>
            <w:pPr>
              <w:spacing w:before="0" w:after="30" w:line="240" w:lineRule="auto"/>
            </w:pPr>
            <w:r>
              <w:rPr>
                <w:rFonts w:ascii="Arial" w:hAnsi="Arial"/>
                <w:b w:val="0"/>
                <w:color w:val="2D3741"/>
                <w:sz w:val="16"/>
              </w:rPr>
              <w:t>Final report accepted or no further action currently due</w:t>
            </w:r>
          </w:p>
        </w:tc>
        <w:tc>
          <w:tcPr>
            <w:tcW w:type="dxa" w:w="5678"/>
            <w:vAlign w:val="center"/>
            <w:shd w:fill="FFF2CC"/>
          </w:tcPr>
          <w:p>
            <w:pPr>
              <w:spacing w:before="0" w:after="30" w:line="240" w:lineRule="auto"/>
            </w:pPr>
            <w:r>
              <w:rPr>
                <w:rFonts w:ascii="Arial" w:hAnsi="Arial"/>
                <w:b w:val="0"/>
                <w:color w:val="2D3741"/>
                <w:sz w:val="16"/>
              </w:rPr>
              <w:t>[EVIDENCE / DATE]</w:t>
            </w:r>
          </w:p>
        </w:tc>
      </w:tr>
      <w:tr>
        <w:trPr>
          <w:cantSplit/>
        </w:trPr>
        <w:tc>
          <w:tcPr>
            <w:tcW w:type="dxa" w:w="4200"/>
            <w:vAlign w:val="center"/>
          </w:tcPr>
          <w:p>
            <w:pPr>
              <w:spacing w:before="0" w:after="30" w:line="240" w:lineRule="auto"/>
            </w:pPr>
            <w:r>
              <w:rPr>
                <w:rFonts w:ascii="Arial" w:hAnsi="Arial"/>
                <w:b w:val="0"/>
                <w:color w:val="2D3741"/>
                <w:sz w:val="16"/>
              </w:rPr>
              <w:t>Post-incident review and D03/D08/D14 actions created</w:t>
            </w:r>
          </w:p>
        </w:tc>
        <w:tc>
          <w:tcPr>
            <w:tcW w:type="dxa" w:w="5678"/>
            <w:vAlign w:val="center"/>
            <w:shd w:fill="FFF2CC"/>
          </w:tcPr>
          <w:p>
            <w:pPr>
              <w:spacing w:before="0" w:after="30" w:line="240" w:lineRule="auto"/>
            </w:pPr>
            <w:r>
              <w:rPr>
                <w:rFonts w:ascii="Arial" w:hAnsi="Arial"/>
                <w:b w:val="0"/>
                <w:color w:val="2D3741"/>
                <w:sz w:val="16"/>
              </w:rPr>
              <w:t>[REFERENCES / OWNERS / DUE DATES]</w:t>
            </w:r>
          </w:p>
        </w:tc>
      </w:tr>
      <w:tr>
        <w:trPr>
          <w:cantSplit/>
        </w:trPr>
        <w:tc>
          <w:tcPr>
            <w:tcW w:type="dxa" w:w="4200"/>
            <w:vAlign w:val="center"/>
          </w:tcPr>
          <w:p>
            <w:pPr>
              <w:spacing w:before="0" w:after="30" w:line="240" w:lineRule="auto"/>
            </w:pPr>
            <w:r>
              <w:rPr>
                <w:rFonts w:ascii="Arial" w:hAnsi="Arial"/>
                <w:b w:val="0"/>
                <w:color w:val="2D3741"/>
                <w:sz w:val="16"/>
              </w:rPr>
              <w:t>Incident reporting file closed</w:t>
            </w:r>
          </w:p>
        </w:tc>
        <w:tc>
          <w:tcPr>
            <w:tcW w:type="dxa" w:w="5678"/>
            <w:vAlign w:val="center"/>
            <w:shd w:fill="FFF2CC"/>
          </w:tcPr>
          <w:p>
            <w:pPr>
              <w:spacing w:before="0" w:after="30" w:line="240" w:lineRule="auto"/>
            </w:pPr>
            <w:r>
              <w:rPr>
                <w:rFonts w:ascii="Arial" w:hAnsi="Arial"/>
                <w:b w:val="0"/>
                <w:color w:val="2D3741"/>
                <w:sz w:val="16"/>
              </w:rPr>
              <w:t>[APPROVER / DATE]</w:t>
            </w:r>
          </w:p>
        </w:tc>
      </w:tr>
    </w:tbl>
    <w:p>
      <w:pPr>
        <w:spacing w:after="20"/>
      </w:pPr>
    </w:p>
    <w:p>
      <w:r>
        <w:br w:type="page"/>
      </w:r>
    </w:p>
    <w:p>
      <w:pPr>
        <w:pStyle w:val="Heading1"/>
        <w:keepNext/>
      </w:pPr>
      <w:r>
        <w:t>Annex C — Conditional Payment-Service Incident Interface</w:t>
      </w:r>
    </w:p>
    <w:tbl>
      <w:tblPr>
        <w:tblW w:type="dxa" w:w="9878"/>
        <w:tblLayout w:type="fixed"/>
        <w:tblLook w:firstColumn="1" w:firstRow="1" w:lastColumn="0" w:lastRow="0" w:noHBand="0" w:noVBand="1" w:val="04A0"/>
        <w:tblInd w:w="90" w:type="dxa"/>
      </w:tblPr>
      <w:tblGrid>
        <w:gridCol w:w="1500"/>
        <w:gridCol w:w="8378"/>
      </w:tblGrid>
      <w:tr>
        <w:trPr>
          <w:cantSplit/>
          <w:tblHeader w:val="true"/>
        </w:trPr>
        <w:tc>
          <w:tcPr>
            <w:tcW w:type="dxa" w:w="15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CONDITIONAL</w:t>
            </w:r>
          </w:p>
        </w:tc>
        <w:tc>
          <w:tcPr>
            <w:tcW w:type="dxa" w:w="8378"/>
            <w:tcMar>
              <w:top w:w="70" w:type="dxa"/>
              <w:start w:w="90" w:type="dxa"/>
              <w:bottom w:w="70" w:type="dxa"/>
              <w:end w:w="90" w:type="dxa"/>
            </w:tcMar>
            <w:vAlign w:val="center"/>
            <w:shd w:fill="EEF2F6"/>
          </w:tcPr>
          <w:p>
            <w:pPr>
              <w:spacing w:before="0" w:after="30" w:line="240" w:lineRule="auto"/>
            </w:pPr>
            <w:r>
              <w:rPr>
                <w:rFonts w:ascii="Arial" w:hAnsi="Arial"/>
                <w:b w:val="0"/>
                <w:color w:val="2D3741"/>
                <w:sz w:val="16"/>
              </w:rPr>
              <w:t>This annex applies only if the firm provides payment services or is otherwise subject to the payment-service incident interface. For the assumed ordinary SNI investment firm, a reasoned not-applicable conclusion is expected unless the permissions and service model indicate otherwise.</w:t>
            </w:r>
          </w:p>
        </w:tc>
      </w:tr>
    </w:tbl>
    <w:p>
      <w:pPr>
        <w:spacing w:after="40"/>
      </w:pPr>
    </w:p>
    <w:tbl>
      <w:tblPr>
        <w:tblStyle w:val="TableGrid"/>
        <w:tblW w:type="dxa" w:w="9878"/>
        <w:tblLayout w:type="fixed"/>
        <w:tblLook w:firstColumn="1" w:firstRow="1" w:lastColumn="0" w:lastRow="0" w:noHBand="0" w:noVBand="1" w:val="04A0"/>
        <w:tblInd w:w="90" w:type="dxa"/>
      </w:tblPr>
      <w:tblGrid>
        <w:gridCol w:w="6100"/>
        <w:gridCol w:w="3778"/>
      </w:tblGrid>
      <w:tr>
        <w:trPr>
          <w:tblHeader w:val="true"/>
          <w:cantSplit/>
          <w:tblHeader w:val="true"/>
        </w:trPr>
        <w:tc>
          <w:tcPr>
            <w:tcW w:type="dxa" w:w="61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Applicability question</w:t>
            </w:r>
          </w:p>
        </w:tc>
        <w:tc>
          <w:tcPr>
            <w:tcW w:type="dxa" w:w="3778"/>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Decision / evidence</w:t>
            </w:r>
          </w:p>
        </w:tc>
      </w:tr>
      <w:tr>
        <w:trPr>
          <w:cantSplit/>
        </w:trPr>
        <w:tc>
          <w:tcPr>
            <w:tcW w:type="dxa" w:w="6100"/>
            <w:vAlign w:val="center"/>
          </w:tcPr>
          <w:p>
            <w:pPr>
              <w:spacing w:before="0" w:after="30" w:line="240" w:lineRule="auto"/>
            </w:pPr>
            <w:r>
              <w:rPr>
                <w:rFonts w:ascii="Arial" w:hAnsi="Arial"/>
                <w:b w:val="0"/>
                <w:color w:val="2D3741"/>
                <w:sz w:val="16"/>
              </w:rPr>
              <w:t>Does the firm provide a payment service, operate a payment account, issue a payment instrument, acquire transactions or otherwise fall within the relevant payment-services regime?</w:t>
            </w:r>
          </w:p>
        </w:tc>
        <w:tc>
          <w:tcPr>
            <w:tcW w:type="dxa" w:w="3778"/>
            <w:vAlign w:val="center"/>
            <w:shd w:fill="FFF2CC"/>
          </w:tcPr>
          <w:p>
            <w:pPr>
              <w:spacing w:before="0" w:after="30" w:line="240" w:lineRule="auto"/>
            </w:pPr>
            <w:r>
              <w:rPr>
                <w:rFonts w:ascii="Arial" w:hAnsi="Arial"/>
                <w:b w:val="0"/>
                <w:color w:val="2D3741"/>
                <w:sz w:val="16"/>
              </w:rPr>
              <w:t>[YES / NO + permissions and legal basis]</w:t>
            </w:r>
          </w:p>
        </w:tc>
      </w:tr>
      <w:tr>
        <w:trPr>
          <w:cantSplit/>
        </w:trPr>
        <w:tc>
          <w:tcPr>
            <w:tcW w:type="dxa" w:w="6100"/>
            <w:vAlign w:val="center"/>
          </w:tcPr>
          <w:p>
            <w:pPr>
              <w:spacing w:before="0" w:after="30" w:line="240" w:lineRule="auto"/>
            </w:pPr>
            <w:r>
              <w:rPr>
                <w:rFonts w:ascii="Arial" w:hAnsi="Arial"/>
                <w:b w:val="0"/>
                <w:color w:val="2D3741"/>
                <w:sz w:val="16"/>
              </w:rPr>
              <w:t>Does the incident constitute a major operational or security payment-related incident?</w:t>
            </w:r>
          </w:p>
        </w:tc>
        <w:tc>
          <w:tcPr>
            <w:tcW w:type="dxa" w:w="3778"/>
            <w:vAlign w:val="center"/>
            <w:shd w:fill="FFF2CC"/>
          </w:tcPr>
          <w:p>
            <w:pPr>
              <w:spacing w:before="0" w:after="30" w:line="240" w:lineRule="auto"/>
            </w:pPr>
            <w:r>
              <w:rPr>
                <w:rFonts w:ascii="Arial" w:hAnsi="Arial"/>
                <w:b w:val="0"/>
                <w:color w:val="2D3741"/>
                <w:sz w:val="16"/>
              </w:rPr>
              <w:t>[YES / NO / NOT APPLICABLE + rationale]</w:t>
            </w:r>
          </w:p>
        </w:tc>
      </w:tr>
      <w:tr>
        <w:trPr>
          <w:cantSplit/>
        </w:trPr>
        <w:tc>
          <w:tcPr>
            <w:tcW w:type="dxa" w:w="6100"/>
            <w:vAlign w:val="center"/>
          </w:tcPr>
          <w:p>
            <w:pPr>
              <w:spacing w:before="0" w:after="30" w:line="240" w:lineRule="auto"/>
            </w:pPr>
            <w:r>
              <w:rPr>
                <w:rFonts w:ascii="Arial" w:hAnsi="Arial"/>
                <w:b w:val="0"/>
                <w:color w:val="2D3741"/>
                <w:sz w:val="16"/>
              </w:rPr>
              <w:t>Which authority, template and channel apply to the payment-service report?</w:t>
            </w:r>
          </w:p>
        </w:tc>
        <w:tc>
          <w:tcPr>
            <w:tcW w:type="dxa" w:w="3778"/>
            <w:vAlign w:val="center"/>
            <w:shd w:fill="FFF2CC"/>
          </w:tcPr>
          <w:p>
            <w:pPr>
              <w:spacing w:before="0" w:after="30" w:line="240" w:lineRule="auto"/>
            </w:pPr>
            <w:r>
              <w:rPr>
                <w:rFonts w:ascii="Arial" w:hAnsi="Arial"/>
                <w:b w:val="0"/>
                <w:color w:val="2D3741"/>
                <w:sz w:val="16"/>
              </w:rPr>
              <w:t>[COMPLETE]</w:t>
            </w:r>
          </w:p>
        </w:tc>
      </w:tr>
      <w:tr>
        <w:trPr>
          <w:cantSplit/>
        </w:trPr>
        <w:tc>
          <w:tcPr>
            <w:tcW w:type="dxa" w:w="6100"/>
            <w:vAlign w:val="center"/>
          </w:tcPr>
          <w:p>
            <w:pPr>
              <w:spacing w:before="0" w:after="30" w:line="240" w:lineRule="auto"/>
            </w:pPr>
            <w:r>
              <w:rPr>
                <w:rFonts w:ascii="Arial" w:hAnsi="Arial"/>
                <w:b w:val="0"/>
                <w:color w:val="2D3741"/>
                <w:sz w:val="16"/>
              </w:rPr>
              <w:t>Can DORA and payment-service information be submitted through a single route or must separate submissions be made?</w:t>
            </w:r>
          </w:p>
        </w:tc>
        <w:tc>
          <w:tcPr>
            <w:tcW w:type="dxa" w:w="3778"/>
            <w:vAlign w:val="center"/>
            <w:shd w:fill="FFF2CC"/>
          </w:tcPr>
          <w:p>
            <w:pPr>
              <w:spacing w:before="0" w:after="30" w:line="240" w:lineRule="auto"/>
            </w:pPr>
            <w:r>
              <w:rPr>
                <w:rFonts w:ascii="Arial" w:hAnsi="Arial"/>
                <w:b w:val="0"/>
                <w:color w:val="2D3741"/>
                <w:sz w:val="16"/>
              </w:rPr>
              <w:t>[COMPLETE — confirm current authority instructions]</w:t>
            </w:r>
          </w:p>
        </w:tc>
      </w:tr>
      <w:tr>
        <w:trPr>
          <w:cantSplit/>
        </w:trPr>
        <w:tc>
          <w:tcPr>
            <w:tcW w:type="dxa" w:w="6100"/>
            <w:vAlign w:val="center"/>
          </w:tcPr>
          <w:p>
            <w:pPr>
              <w:spacing w:before="0" w:after="30" w:line="240" w:lineRule="auto"/>
            </w:pPr>
            <w:r>
              <w:rPr>
                <w:rFonts w:ascii="Arial" w:hAnsi="Arial"/>
                <w:b w:val="0"/>
                <w:color w:val="2D3741"/>
                <w:sz w:val="16"/>
              </w:rPr>
              <w:t>Who controls duplicate-reporting, consistency and deadline reconciliation?</w:t>
            </w:r>
          </w:p>
        </w:tc>
        <w:tc>
          <w:tcPr>
            <w:tcW w:type="dxa" w:w="3778"/>
            <w:vAlign w:val="center"/>
            <w:shd w:fill="FFF2CC"/>
          </w:tcPr>
          <w:p>
            <w:pPr>
              <w:spacing w:before="0" w:after="30" w:line="240" w:lineRule="auto"/>
            </w:pPr>
            <w:r>
              <w:rPr>
                <w:rFonts w:ascii="Arial" w:hAnsi="Arial"/>
                <w:b w:val="0"/>
                <w:color w:val="2D3741"/>
                <w:sz w:val="16"/>
              </w:rPr>
              <w:t>[NAME / ROLE]</w:t>
            </w:r>
          </w:p>
        </w:tc>
      </w:tr>
      <w:tr>
        <w:trPr>
          <w:cantSplit/>
        </w:trPr>
        <w:tc>
          <w:tcPr>
            <w:tcW w:type="dxa" w:w="6100"/>
            <w:vAlign w:val="center"/>
          </w:tcPr>
          <w:p>
            <w:pPr>
              <w:spacing w:before="0" w:after="30" w:line="240" w:lineRule="auto"/>
            </w:pPr>
            <w:r>
              <w:rPr>
                <w:rFonts w:ascii="Arial" w:hAnsi="Arial"/>
                <w:b w:val="0"/>
                <w:color w:val="2D3741"/>
                <w:sz w:val="16"/>
              </w:rPr>
              <w:t>If not applicable, state the controlled rationale and review trigger.</w:t>
            </w:r>
          </w:p>
        </w:tc>
        <w:tc>
          <w:tcPr>
            <w:tcW w:type="dxa" w:w="3778"/>
            <w:vAlign w:val="center"/>
            <w:shd w:fill="FFF2CC"/>
          </w:tcPr>
          <w:p>
            <w:pPr>
              <w:spacing w:before="0" w:after="30" w:line="240" w:lineRule="auto"/>
            </w:pPr>
            <w:r>
              <w:rPr>
                <w:rFonts w:ascii="Arial" w:hAnsi="Arial"/>
                <w:b w:val="0"/>
                <w:color w:val="2D3741"/>
                <w:sz w:val="16"/>
              </w:rPr>
              <w:t>[RATIONALE / APPROVER / REVIEW TRIGGER]</w:t>
            </w:r>
          </w:p>
        </w:tc>
      </w:tr>
    </w:tbl>
    <w:p>
      <w:pPr>
        <w:spacing w:after="20"/>
      </w:pPr>
    </w:p>
    <w:p>
      <w:pPr>
        <w:pStyle w:val="Heading2"/>
        <w:keepNext/>
      </w:pPr>
      <w:r>
        <w:t>C1. Interface record where applicable</w:t>
      </w:r>
    </w:p>
    <w:tbl>
      <w:tblPr>
        <w:tblStyle w:val="TableGrid"/>
        <w:tblW w:type="dxa" w:w="9878"/>
        <w:tblLayout w:type="fixed"/>
        <w:tblLook w:firstColumn="1" w:firstRow="1" w:lastColumn="0" w:lastRow="0" w:noHBand="0" w:noVBand="1" w:val="04A0"/>
        <w:tblInd w:w="90" w:type="dxa"/>
      </w:tblPr>
      <w:tblGrid>
        <w:gridCol w:w="2600"/>
        <w:gridCol w:w="3600"/>
        <w:gridCol w:w="3678"/>
      </w:tblGrid>
      <w:tr>
        <w:trPr>
          <w:tblHeader w:val="true"/>
          <w:cantSplit/>
          <w:tblHeader w:val="true"/>
        </w:trPr>
        <w:tc>
          <w:tcPr>
            <w:tcW w:type="dxa" w:w="26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Control</w:t>
            </w:r>
          </w:p>
        </w:tc>
        <w:tc>
          <w:tcPr>
            <w:tcW w:type="dxa" w:w="36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DORA report</w:t>
            </w:r>
          </w:p>
        </w:tc>
        <w:tc>
          <w:tcPr>
            <w:tcW w:type="dxa" w:w="3678"/>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Payment-service report / decision</w:t>
            </w:r>
          </w:p>
        </w:tc>
      </w:tr>
      <w:tr>
        <w:trPr>
          <w:cantSplit/>
        </w:trPr>
        <w:tc>
          <w:tcPr>
            <w:tcW w:type="dxa" w:w="2600"/>
            <w:vAlign w:val="center"/>
          </w:tcPr>
          <w:p>
            <w:pPr>
              <w:spacing w:before="0" w:after="30" w:line="240" w:lineRule="auto"/>
            </w:pPr>
            <w:r>
              <w:rPr>
                <w:rFonts w:ascii="Arial" w:hAnsi="Arial"/>
                <w:b w:val="0"/>
                <w:color w:val="2D3741"/>
                <w:sz w:val="16"/>
              </w:rPr>
              <w:t>Incident reference</w:t>
            </w:r>
          </w:p>
        </w:tc>
        <w:tc>
          <w:tcPr>
            <w:tcW w:type="dxa" w:w="3600"/>
            <w:vAlign w:val="center"/>
            <w:shd w:fill="FFF2CC"/>
          </w:tcPr>
          <w:p>
            <w:pPr>
              <w:spacing w:before="0" w:after="30" w:line="240" w:lineRule="auto"/>
            </w:pPr>
            <w:r>
              <w:rPr>
                <w:rFonts w:ascii="Arial" w:hAnsi="Arial"/>
                <w:b w:val="0"/>
                <w:color w:val="2D3741"/>
                <w:sz w:val="16"/>
              </w:rPr>
              <w:t>[REFERENCE]</w:t>
            </w:r>
          </w:p>
        </w:tc>
        <w:tc>
          <w:tcPr>
            <w:tcW w:type="dxa" w:w="3678"/>
            <w:vAlign w:val="center"/>
            <w:shd w:fill="FFF2CC"/>
          </w:tcPr>
          <w:p>
            <w:pPr>
              <w:spacing w:before="0" w:after="30" w:line="240" w:lineRule="auto"/>
            </w:pPr>
            <w:r>
              <w:rPr>
                <w:rFonts w:ascii="Arial" w:hAnsi="Arial"/>
                <w:b w:val="0"/>
                <w:color w:val="2D3741"/>
                <w:sz w:val="16"/>
              </w:rPr>
              <w:t>[REFERENCE]</w:t>
            </w:r>
          </w:p>
        </w:tc>
      </w:tr>
      <w:tr>
        <w:trPr>
          <w:cantSplit/>
        </w:trPr>
        <w:tc>
          <w:tcPr>
            <w:tcW w:type="dxa" w:w="2600"/>
            <w:vAlign w:val="center"/>
          </w:tcPr>
          <w:p>
            <w:pPr>
              <w:spacing w:before="0" w:after="30" w:line="240" w:lineRule="auto"/>
            </w:pPr>
            <w:r>
              <w:rPr>
                <w:rFonts w:ascii="Arial" w:hAnsi="Arial"/>
                <w:b w:val="0"/>
                <w:color w:val="2D3741"/>
                <w:sz w:val="16"/>
              </w:rPr>
              <w:t>Classification basis</w:t>
            </w:r>
          </w:p>
        </w:tc>
        <w:tc>
          <w:tcPr>
            <w:tcW w:type="dxa" w:w="3600"/>
            <w:vAlign w:val="center"/>
            <w:shd w:fill="FFF2CC"/>
          </w:tcPr>
          <w:p>
            <w:pPr>
              <w:spacing w:before="0" w:after="30" w:line="240" w:lineRule="auto"/>
            </w:pPr>
            <w:r>
              <w:rPr>
                <w:rFonts w:ascii="Arial" w:hAnsi="Arial"/>
                <w:b w:val="0"/>
                <w:color w:val="2D3741"/>
                <w:sz w:val="16"/>
              </w:rPr>
              <w:t>[CRITERIA / THRESHOLDS]</w:t>
            </w:r>
          </w:p>
        </w:tc>
        <w:tc>
          <w:tcPr>
            <w:tcW w:type="dxa" w:w="3678"/>
            <w:vAlign w:val="center"/>
            <w:shd w:fill="FFF2CC"/>
          </w:tcPr>
          <w:p>
            <w:pPr>
              <w:spacing w:before="0" w:after="30" w:line="240" w:lineRule="auto"/>
            </w:pPr>
            <w:r>
              <w:rPr>
                <w:rFonts w:ascii="Arial" w:hAnsi="Arial"/>
                <w:b w:val="0"/>
                <w:color w:val="2D3741"/>
                <w:sz w:val="16"/>
              </w:rPr>
              <w:t>[SECTORAL CRITERIA]</w:t>
            </w:r>
          </w:p>
        </w:tc>
      </w:tr>
      <w:tr>
        <w:trPr>
          <w:cantSplit/>
        </w:trPr>
        <w:tc>
          <w:tcPr>
            <w:tcW w:type="dxa" w:w="2600"/>
            <w:vAlign w:val="center"/>
          </w:tcPr>
          <w:p>
            <w:pPr>
              <w:spacing w:before="0" w:after="30" w:line="240" w:lineRule="auto"/>
            </w:pPr>
            <w:r>
              <w:rPr>
                <w:rFonts w:ascii="Arial" w:hAnsi="Arial"/>
                <w:b w:val="0"/>
                <w:color w:val="2D3741"/>
                <w:sz w:val="16"/>
              </w:rPr>
              <w:t>Deadline</w:t>
            </w:r>
          </w:p>
        </w:tc>
        <w:tc>
          <w:tcPr>
            <w:tcW w:type="dxa" w:w="3600"/>
            <w:vAlign w:val="center"/>
            <w:shd w:fill="FFF2CC"/>
          </w:tcPr>
          <w:p>
            <w:pPr>
              <w:spacing w:before="0" w:after="30" w:line="240" w:lineRule="auto"/>
            </w:pPr>
            <w:r>
              <w:rPr>
                <w:rFonts w:ascii="Arial" w:hAnsi="Arial"/>
                <w:b w:val="0"/>
                <w:color w:val="2D3741"/>
                <w:sz w:val="16"/>
              </w:rPr>
              <w:t>[DATE / TIME]</w:t>
            </w:r>
          </w:p>
        </w:tc>
        <w:tc>
          <w:tcPr>
            <w:tcW w:type="dxa" w:w="3678"/>
            <w:vAlign w:val="center"/>
            <w:shd w:fill="FFF2CC"/>
          </w:tcPr>
          <w:p>
            <w:pPr>
              <w:spacing w:before="0" w:after="30" w:line="240" w:lineRule="auto"/>
            </w:pPr>
            <w:r>
              <w:rPr>
                <w:rFonts w:ascii="Arial" w:hAnsi="Arial"/>
                <w:b w:val="0"/>
                <w:color w:val="2D3741"/>
                <w:sz w:val="16"/>
              </w:rPr>
              <w:t>[DATE / TIME]</w:t>
            </w:r>
          </w:p>
        </w:tc>
      </w:tr>
      <w:tr>
        <w:trPr>
          <w:cantSplit/>
        </w:trPr>
        <w:tc>
          <w:tcPr>
            <w:tcW w:type="dxa" w:w="2600"/>
            <w:vAlign w:val="center"/>
          </w:tcPr>
          <w:p>
            <w:pPr>
              <w:spacing w:before="0" w:after="30" w:line="240" w:lineRule="auto"/>
            </w:pPr>
            <w:r>
              <w:rPr>
                <w:rFonts w:ascii="Arial" w:hAnsi="Arial"/>
                <w:b w:val="0"/>
                <w:color w:val="2D3741"/>
                <w:sz w:val="16"/>
              </w:rPr>
              <w:t>Authority / channel</w:t>
            </w:r>
          </w:p>
        </w:tc>
        <w:tc>
          <w:tcPr>
            <w:tcW w:type="dxa" w:w="3600"/>
            <w:vAlign w:val="center"/>
            <w:shd w:fill="FFF2CC"/>
          </w:tcPr>
          <w:p>
            <w:pPr>
              <w:spacing w:before="0" w:after="30" w:line="240" w:lineRule="auto"/>
            </w:pPr>
            <w:r>
              <w:rPr>
                <w:rFonts w:ascii="Arial" w:hAnsi="Arial"/>
                <w:b w:val="0"/>
                <w:color w:val="2D3741"/>
                <w:sz w:val="16"/>
              </w:rPr>
              <w:t>[CENTRAL BANK ROUTE]</w:t>
            </w:r>
          </w:p>
        </w:tc>
        <w:tc>
          <w:tcPr>
            <w:tcW w:type="dxa" w:w="3678"/>
            <w:vAlign w:val="center"/>
            <w:shd w:fill="FFF2CC"/>
          </w:tcPr>
          <w:p>
            <w:pPr>
              <w:spacing w:before="0" w:after="30" w:line="240" w:lineRule="auto"/>
            </w:pPr>
            <w:r>
              <w:rPr>
                <w:rFonts w:ascii="Arial" w:hAnsi="Arial"/>
                <w:b w:val="0"/>
                <w:color w:val="2D3741"/>
                <w:sz w:val="16"/>
              </w:rPr>
              <w:t>[AUTHORITY / ROUTE]</w:t>
            </w:r>
          </w:p>
        </w:tc>
      </w:tr>
      <w:tr>
        <w:trPr>
          <w:cantSplit/>
        </w:trPr>
        <w:tc>
          <w:tcPr>
            <w:tcW w:type="dxa" w:w="2600"/>
            <w:vAlign w:val="center"/>
          </w:tcPr>
          <w:p>
            <w:pPr>
              <w:spacing w:before="0" w:after="30" w:line="240" w:lineRule="auto"/>
            </w:pPr>
            <w:r>
              <w:rPr>
                <w:rFonts w:ascii="Arial" w:hAnsi="Arial"/>
                <w:b w:val="0"/>
                <w:color w:val="2D3741"/>
                <w:sz w:val="16"/>
              </w:rPr>
              <w:t>Content differences</w:t>
            </w:r>
          </w:p>
        </w:tc>
        <w:tc>
          <w:tcPr>
            <w:tcW w:type="dxa" w:w="3600"/>
            <w:vAlign w:val="center"/>
            <w:shd w:fill="FFF2CC"/>
          </w:tcPr>
          <w:p>
            <w:pPr>
              <w:spacing w:before="0" w:after="30" w:line="240" w:lineRule="auto"/>
            </w:pPr>
            <w:r>
              <w:rPr>
                <w:rFonts w:ascii="Arial" w:hAnsi="Arial"/>
                <w:b w:val="0"/>
                <w:color w:val="2D3741"/>
                <w:sz w:val="16"/>
              </w:rPr>
              <w:t>[COMPLETE]</w:t>
            </w:r>
          </w:p>
        </w:tc>
        <w:tc>
          <w:tcPr>
            <w:tcW w:type="dxa" w:w="3678"/>
            <w:vAlign w:val="center"/>
            <w:shd w:fill="FFF2CC"/>
          </w:tcPr>
          <w:p>
            <w:pPr>
              <w:spacing w:before="0" w:after="30" w:line="240" w:lineRule="auto"/>
            </w:pPr>
            <w:r>
              <w:rPr>
                <w:rFonts w:ascii="Arial" w:hAnsi="Arial"/>
                <w:b w:val="0"/>
                <w:color w:val="2D3741"/>
                <w:sz w:val="16"/>
              </w:rPr>
              <w:t>[COMPLETE]</w:t>
            </w:r>
          </w:p>
        </w:tc>
      </w:tr>
      <w:tr>
        <w:trPr>
          <w:cantSplit/>
        </w:trPr>
        <w:tc>
          <w:tcPr>
            <w:tcW w:type="dxa" w:w="2600"/>
            <w:vAlign w:val="center"/>
          </w:tcPr>
          <w:p>
            <w:pPr>
              <w:spacing w:before="0" w:after="30" w:line="240" w:lineRule="auto"/>
            </w:pPr>
            <w:r>
              <w:rPr>
                <w:rFonts w:ascii="Arial" w:hAnsi="Arial"/>
                <w:b w:val="0"/>
                <w:color w:val="2D3741"/>
                <w:sz w:val="16"/>
              </w:rPr>
              <w:t>Submission and acknowledgement</w:t>
            </w:r>
          </w:p>
        </w:tc>
        <w:tc>
          <w:tcPr>
            <w:tcW w:type="dxa" w:w="3600"/>
            <w:vAlign w:val="center"/>
            <w:shd w:fill="FFF2CC"/>
          </w:tcPr>
          <w:p>
            <w:pPr>
              <w:spacing w:before="0" w:after="30" w:line="240" w:lineRule="auto"/>
            </w:pPr>
            <w:r>
              <w:rPr>
                <w:rFonts w:ascii="Arial" w:hAnsi="Arial"/>
                <w:b w:val="0"/>
                <w:color w:val="2D3741"/>
                <w:sz w:val="16"/>
              </w:rPr>
              <w:t>[REFERENCE]</w:t>
            </w:r>
          </w:p>
        </w:tc>
        <w:tc>
          <w:tcPr>
            <w:tcW w:type="dxa" w:w="3678"/>
            <w:vAlign w:val="center"/>
            <w:shd w:fill="FFF2CC"/>
          </w:tcPr>
          <w:p>
            <w:pPr>
              <w:spacing w:before="0" w:after="30" w:line="240" w:lineRule="auto"/>
            </w:pPr>
            <w:r>
              <w:rPr>
                <w:rFonts w:ascii="Arial" w:hAnsi="Arial"/>
                <w:b w:val="0"/>
                <w:color w:val="2D3741"/>
                <w:sz w:val="16"/>
              </w:rPr>
              <w:t>[REFERENCE]</w:t>
            </w:r>
          </w:p>
        </w:tc>
      </w:tr>
    </w:tbl>
    <w:p>
      <w:pPr>
        <w:spacing w:after="20"/>
      </w:pPr>
    </w:p>
    <w:p>
      <w:r>
        <w:br w:type="page"/>
      </w:r>
    </w:p>
    <w:p>
      <w:pPr>
        <w:pStyle w:val="Heading1"/>
        <w:keepNext/>
      </w:pPr>
      <w:r>
        <w:t>Annex D — Regulatory Interface and Legal Context</w:t>
      </w:r>
    </w:p>
    <w:tbl>
      <w:tblPr>
        <w:tblW w:type="dxa" w:w="9878"/>
        <w:tblLayout w:type="fixed"/>
        <w:tblLook w:firstColumn="1" w:firstRow="1" w:lastColumn="0" w:lastRow="0" w:noHBand="0" w:noVBand="1" w:val="04A0"/>
        <w:tblInd w:w="90" w:type="dxa"/>
      </w:tblPr>
      <w:tblGrid>
        <w:gridCol w:w="1500"/>
        <w:gridCol w:w="8378"/>
      </w:tblGrid>
      <w:tr>
        <w:trPr>
          <w:cantSplit/>
          <w:tblHeader w:val="true"/>
        </w:trPr>
        <w:tc>
          <w:tcPr>
            <w:tcW w:type="dxa" w:w="15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CONTEXT ONLY</w:t>
            </w:r>
          </w:p>
        </w:tc>
        <w:tc>
          <w:tcPr>
            <w:tcW w:type="dxa" w:w="8378"/>
            <w:tcMar>
              <w:top w:w="70" w:type="dxa"/>
              <w:start w:w="90" w:type="dxa"/>
              <w:bottom w:w="70" w:type="dxa"/>
              <w:end w:w="90" w:type="dxa"/>
            </w:tcMar>
            <w:vAlign w:val="center"/>
            <w:shd w:fill="EEF2F6"/>
          </w:tcPr>
          <w:p>
            <w:pPr>
              <w:spacing w:before="0" w:after="30" w:line="240" w:lineRule="auto"/>
            </w:pPr>
            <w:r>
              <w:rPr>
                <w:rFonts w:ascii="Arial" w:hAnsi="Arial"/>
                <w:b w:val="0"/>
                <w:color w:val="2D3741"/>
                <w:sz w:val="16"/>
              </w:rPr>
              <w:t>This annex explains the supervisory interface. It does not convert obligations imposed on competent authorities or the ESAs into firm controls. Authority-only requirements are primarily mapped to R00 Appendix A and appear here only as supporting context.</w:t>
            </w:r>
          </w:p>
        </w:tc>
      </w:tr>
    </w:tbl>
    <w:p>
      <w:pPr>
        <w:spacing w:after="40"/>
      </w:pPr>
    </w:p>
    <w:tbl>
      <w:tblPr>
        <w:tblStyle w:val="TableGrid"/>
        <w:tblW w:type="dxa" w:w="9878"/>
        <w:tblLayout w:type="fixed"/>
        <w:tblLook w:firstColumn="1" w:firstRow="1" w:lastColumn="0" w:lastRow="0" w:noHBand="0" w:noVBand="1" w:val="04A0"/>
        <w:tblInd w:w="90" w:type="dxa"/>
      </w:tblPr>
      <w:tblGrid>
        <w:gridCol w:w="2100"/>
        <w:gridCol w:w="4200"/>
        <w:gridCol w:w="3578"/>
      </w:tblGrid>
      <w:tr>
        <w:trPr>
          <w:tblHeader w:val="true"/>
          <w:cantSplit/>
          <w:tblHeader w:val="true"/>
        </w:trPr>
        <w:tc>
          <w:tcPr>
            <w:tcW w:type="dxa" w:w="21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Provision group</w:t>
            </w:r>
          </w:p>
        </w:tc>
        <w:tc>
          <w:tcPr>
            <w:tcW w:type="dxa" w:w="42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Regulatory context</w:t>
            </w:r>
          </w:p>
        </w:tc>
        <w:tc>
          <w:tcPr>
            <w:tcW w:type="dxa" w:w="3578"/>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Firm-side consequence</w:t>
            </w:r>
          </w:p>
        </w:tc>
      </w:tr>
      <w:tr>
        <w:trPr>
          <w:cantSplit/>
        </w:trPr>
        <w:tc>
          <w:tcPr>
            <w:tcW w:type="dxa" w:w="2100"/>
            <w:vAlign w:val="center"/>
          </w:tcPr>
          <w:p>
            <w:pPr>
              <w:spacing w:before="0" w:after="30" w:line="240" w:lineRule="auto"/>
            </w:pPr>
            <w:r>
              <w:rPr>
                <w:rFonts w:ascii="Arial" w:hAnsi="Arial"/>
                <w:b w:val="0"/>
                <w:color w:val="2D3741"/>
                <w:sz w:val="16"/>
              </w:rPr>
              <w:t>DORA Article 20</w:t>
            </w:r>
          </w:p>
        </w:tc>
        <w:tc>
          <w:tcPr>
            <w:tcW w:type="dxa" w:w="4200"/>
            <w:vAlign w:val="center"/>
          </w:tcPr>
          <w:p>
            <w:pPr>
              <w:spacing w:before="0" w:after="30" w:line="240" w:lineRule="auto"/>
            </w:pPr>
            <w:r>
              <w:rPr>
                <w:rFonts w:ascii="Arial" w:hAnsi="Arial"/>
                <w:b w:val="0"/>
                <w:color w:val="2D3741"/>
                <w:sz w:val="16"/>
              </w:rPr>
              <w:t>Mandates development and adoption of reporting content and timing standards.</w:t>
            </w:r>
          </w:p>
        </w:tc>
        <w:tc>
          <w:tcPr>
            <w:tcW w:type="dxa" w:w="3578"/>
            <w:vAlign w:val="center"/>
          </w:tcPr>
          <w:p>
            <w:pPr>
              <w:spacing w:before="0" w:after="30" w:line="240" w:lineRule="auto"/>
            </w:pPr>
            <w:r>
              <w:rPr>
                <w:rFonts w:ascii="Arial" w:hAnsi="Arial"/>
                <w:b w:val="0"/>
                <w:color w:val="2D3741"/>
                <w:sz w:val="16"/>
              </w:rPr>
              <w:t>Use the in-force RTS/ITS and current Central Bank templates; no separate implementation of the authority mandate.</w:t>
            </w:r>
          </w:p>
        </w:tc>
      </w:tr>
      <w:tr>
        <w:trPr>
          <w:cantSplit/>
        </w:trPr>
        <w:tc>
          <w:tcPr>
            <w:tcW w:type="dxa" w:w="2100"/>
            <w:vAlign w:val="center"/>
          </w:tcPr>
          <w:p>
            <w:pPr>
              <w:spacing w:before="0" w:after="30" w:line="240" w:lineRule="auto"/>
            </w:pPr>
            <w:r>
              <w:rPr>
                <w:rFonts w:ascii="Arial" w:hAnsi="Arial"/>
                <w:b w:val="0"/>
                <w:color w:val="2D3741"/>
                <w:sz w:val="16"/>
              </w:rPr>
              <w:t>DORA Article 21</w:t>
            </w:r>
          </w:p>
        </w:tc>
        <w:tc>
          <w:tcPr>
            <w:tcW w:type="dxa" w:w="4200"/>
            <w:vAlign w:val="center"/>
          </w:tcPr>
          <w:p>
            <w:pPr>
              <w:spacing w:before="0" w:after="30" w:line="240" w:lineRule="auto"/>
            </w:pPr>
            <w:r>
              <w:rPr>
                <w:rFonts w:ascii="Arial" w:hAnsi="Arial"/>
                <w:b w:val="0"/>
                <w:color w:val="2D3741"/>
                <w:sz w:val="16"/>
              </w:rPr>
              <w:t>Governs centralisation and further development of major-incident reporting at Union level.</w:t>
            </w:r>
          </w:p>
        </w:tc>
        <w:tc>
          <w:tcPr>
            <w:tcW w:type="dxa" w:w="3578"/>
            <w:vAlign w:val="center"/>
          </w:tcPr>
          <w:p>
            <w:pPr>
              <w:spacing w:before="0" w:after="30" w:line="240" w:lineRule="auto"/>
            </w:pPr>
            <w:r>
              <w:rPr>
                <w:rFonts w:ascii="Arial" w:hAnsi="Arial"/>
                <w:b w:val="0"/>
                <w:color w:val="2D3741"/>
                <w:sz w:val="16"/>
              </w:rPr>
              <w:t>Monitor legal change and authority instructions; maintain adaptable reporting data and evidence.</w:t>
            </w:r>
          </w:p>
        </w:tc>
      </w:tr>
      <w:tr>
        <w:trPr>
          <w:cantSplit/>
        </w:trPr>
        <w:tc>
          <w:tcPr>
            <w:tcW w:type="dxa" w:w="2100"/>
            <w:vAlign w:val="center"/>
          </w:tcPr>
          <w:p>
            <w:pPr>
              <w:spacing w:before="0" w:after="30" w:line="240" w:lineRule="auto"/>
            </w:pPr>
            <w:r>
              <w:rPr>
                <w:rFonts w:ascii="Arial" w:hAnsi="Arial"/>
                <w:b w:val="0"/>
                <w:color w:val="2D3741"/>
                <w:sz w:val="16"/>
              </w:rPr>
              <w:t>DORA Article 22</w:t>
            </w:r>
          </w:p>
        </w:tc>
        <w:tc>
          <w:tcPr>
            <w:tcW w:type="dxa" w:w="4200"/>
            <w:vAlign w:val="center"/>
          </w:tcPr>
          <w:p>
            <w:pPr>
              <w:spacing w:before="0" w:after="30" w:line="240" w:lineRule="auto"/>
            </w:pPr>
            <w:r>
              <w:rPr>
                <w:rFonts w:ascii="Arial" w:hAnsi="Arial"/>
                <w:b w:val="0"/>
                <w:color w:val="2D3741"/>
                <w:sz w:val="16"/>
              </w:rPr>
              <w:t>Governs competent-authority feedback and follow-up after reports.</w:t>
            </w:r>
          </w:p>
        </w:tc>
        <w:tc>
          <w:tcPr>
            <w:tcW w:type="dxa" w:w="3578"/>
            <w:vAlign w:val="center"/>
          </w:tcPr>
          <w:p>
            <w:pPr>
              <w:spacing w:before="0" w:after="30" w:line="240" w:lineRule="auto"/>
            </w:pPr>
            <w:r>
              <w:rPr>
                <w:rFonts w:ascii="Arial" w:hAnsi="Arial"/>
                <w:b w:val="0"/>
                <w:color w:val="2D3741"/>
                <w:sz w:val="16"/>
              </w:rPr>
              <w:t>Cooperate, answer requests, retain communications and track resulting actions when engaged.</w:t>
            </w:r>
          </w:p>
        </w:tc>
      </w:tr>
      <w:tr>
        <w:trPr>
          <w:cantSplit/>
        </w:trPr>
        <w:tc>
          <w:tcPr>
            <w:tcW w:type="dxa" w:w="2100"/>
            <w:vAlign w:val="center"/>
          </w:tcPr>
          <w:p>
            <w:pPr>
              <w:spacing w:before="0" w:after="30" w:line="240" w:lineRule="auto"/>
            </w:pPr>
            <w:r>
              <w:rPr>
                <w:rFonts w:ascii="Arial" w:hAnsi="Arial"/>
                <w:b w:val="0"/>
                <w:color w:val="2D3741"/>
                <w:sz w:val="16"/>
              </w:rPr>
              <w:t>DORA Article 46 / Icelandic Act No. 78/2025</w:t>
            </w:r>
          </w:p>
        </w:tc>
        <w:tc>
          <w:tcPr>
            <w:tcW w:type="dxa" w:w="4200"/>
            <w:vAlign w:val="center"/>
          </w:tcPr>
          <w:p>
            <w:pPr>
              <w:spacing w:before="0" w:after="30" w:line="240" w:lineRule="auto"/>
            </w:pPr>
            <w:r>
              <w:rPr>
                <w:rFonts w:ascii="Arial" w:hAnsi="Arial"/>
                <w:b w:val="0"/>
                <w:color w:val="2D3741"/>
                <w:sz w:val="16"/>
              </w:rPr>
              <w:t>Identifies the competent authority and Icelandic supervisory basis.</w:t>
            </w:r>
          </w:p>
        </w:tc>
        <w:tc>
          <w:tcPr>
            <w:tcW w:type="dxa" w:w="3578"/>
            <w:vAlign w:val="center"/>
          </w:tcPr>
          <w:p>
            <w:pPr>
              <w:spacing w:before="0" w:after="30" w:line="240" w:lineRule="auto"/>
            </w:pPr>
            <w:r>
              <w:rPr>
                <w:rFonts w:ascii="Arial" w:hAnsi="Arial"/>
                <w:b w:val="0"/>
                <w:color w:val="2D3741"/>
                <w:sz w:val="16"/>
              </w:rPr>
              <w:t>Maintain current reporting contacts, portal users, templates and authority instructions.</w:t>
            </w:r>
          </w:p>
        </w:tc>
      </w:tr>
    </w:tbl>
    <w:p>
      <w:pPr>
        <w:spacing w:after="20"/>
      </w:pPr>
    </w:p>
    <w:p>
      <w:pPr>
        <w:pStyle w:val="Heading2"/>
        <w:keepNext/>
      </w:pPr>
      <w:r>
        <w:t>D1. Competent-authority interface record</w:t>
      </w:r>
    </w:p>
    <w:tbl>
      <w:tblPr>
        <w:tblStyle w:val="TableGrid"/>
        <w:tblW w:type="dxa" w:w="9878"/>
        <w:tblLayout w:type="fixed"/>
        <w:tblLook w:firstColumn="1" w:firstRow="1" w:lastColumn="0" w:lastRow="0" w:noHBand="0" w:noVBand="1" w:val="04A0"/>
        <w:tblInd w:w="90" w:type="dxa"/>
      </w:tblPr>
      <w:tblGrid>
        <w:gridCol w:w="3500"/>
        <w:gridCol w:w="6378"/>
      </w:tblGrid>
      <w:tr>
        <w:trPr>
          <w:tblHeader w:val="true"/>
          <w:cantSplit/>
          <w:tblHeader w:val="true"/>
        </w:trPr>
        <w:tc>
          <w:tcPr>
            <w:tcW w:type="dxa" w:w="35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Item</w:t>
            </w:r>
          </w:p>
        </w:tc>
        <w:tc>
          <w:tcPr>
            <w:tcW w:type="dxa" w:w="6378"/>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Controlled value</w:t>
            </w:r>
          </w:p>
        </w:tc>
      </w:tr>
      <w:tr>
        <w:trPr>
          <w:cantSplit/>
        </w:trPr>
        <w:tc>
          <w:tcPr>
            <w:tcW w:type="dxa" w:w="3500"/>
            <w:vAlign w:val="center"/>
          </w:tcPr>
          <w:p>
            <w:pPr>
              <w:spacing w:before="0" w:after="30" w:line="240" w:lineRule="auto"/>
            </w:pPr>
            <w:r>
              <w:rPr>
                <w:rFonts w:ascii="Arial" w:hAnsi="Arial"/>
                <w:b w:val="0"/>
                <w:color w:val="2D3741"/>
                <w:sz w:val="16"/>
              </w:rPr>
              <w:t>Competent authority</w:t>
            </w:r>
          </w:p>
        </w:tc>
        <w:tc>
          <w:tcPr>
            <w:tcW w:type="dxa" w:w="6378"/>
            <w:vAlign w:val="center"/>
            <w:shd w:fill="FFF2CC"/>
          </w:tcPr>
          <w:p>
            <w:pPr>
              <w:spacing w:before="0" w:after="30" w:line="240" w:lineRule="auto"/>
            </w:pPr>
            <w:r>
              <w:rPr>
                <w:rFonts w:ascii="Arial" w:hAnsi="Arial"/>
                <w:b w:val="0"/>
                <w:color w:val="2D3741"/>
                <w:sz w:val="16"/>
              </w:rPr>
              <w:t>Central Bank of Iceland — Financial Supervision</w:t>
            </w:r>
          </w:p>
        </w:tc>
      </w:tr>
      <w:tr>
        <w:trPr>
          <w:cantSplit/>
        </w:trPr>
        <w:tc>
          <w:tcPr>
            <w:tcW w:type="dxa" w:w="3500"/>
            <w:vAlign w:val="center"/>
          </w:tcPr>
          <w:p>
            <w:pPr>
              <w:spacing w:before="0" w:after="30" w:line="240" w:lineRule="auto"/>
            </w:pPr>
            <w:r>
              <w:rPr>
                <w:rFonts w:ascii="Arial" w:hAnsi="Arial"/>
                <w:b w:val="0"/>
                <w:color w:val="2D3741"/>
                <w:sz w:val="16"/>
              </w:rPr>
              <w:t>Current major-incident submission route</w:t>
            </w:r>
          </w:p>
        </w:tc>
        <w:tc>
          <w:tcPr>
            <w:tcW w:type="dxa" w:w="6378"/>
            <w:vAlign w:val="center"/>
            <w:shd w:fill="FFF2CC"/>
          </w:tcPr>
          <w:p>
            <w:pPr>
              <w:spacing w:before="0" w:after="30" w:line="240" w:lineRule="auto"/>
            </w:pPr>
            <w:r>
              <w:rPr>
                <w:rFonts w:ascii="Arial" w:hAnsi="Arial"/>
                <w:b w:val="0"/>
                <w:color w:val="2D3741"/>
                <w:sz w:val="16"/>
              </w:rPr>
              <w:t>Electronic supervisory service portal using the current Central Bank template</w:t>
            </w:r>
          </w:p>
        </w:tc>
      </w:tr>
      <w:tr>
        <w:trPr>
          <w:cantSplit/>
        </w:trPr>
        <w:tc>
          <w:tcPr>
            <w:tcW w:type="dxa" w:w="3500"/>
            <w:vAlign w:val="center"/>
          </w:tcPr>
          <w:p>
            <w:pPr>
              <w:spacing w:before="0" w:after="30" w:line="240" w:lineRule="auto"/>
            </w:pPr>
            <w:r>
              <w:rPr>
                <w:rFonts w:ascii="Arial" w:hAnsi="Arial"/>
                <w:b w:val="0"/>
                <w:color w:val="2D3741"/>
                <w:sz w:val="16"/>
              </w:rPr>
              <w:t>Current significant cyber-threat route</w:t>
            </w:r>
          </w:p>
        </w:tc>
        <w:tc>
          <w:tcPr>
            <w:tcW w:type="dxa" w:w="6378"/>
            <w:vAlign w:val="center"/>
            <w:shd w:fill="FFF2CC"/>
          </w:tcPr>
          <w:p>
            <w:pPr>
              <w:spacing w:before="0" w:after="30" w:line="240" w:lineRule="auto"/>
            </w:pPr>
            <w:r>
              <w:rPr>
                <w:rFonts w:ascii="Arial" w:hAnsi="Arial"/>
                <w:b w:val="0"/>
                <w:color w:val="2D3741"/>
                <w:sz w:val="16"/>
              </w:rPr>
              <w:t>Electronic supervisory service portal using the current Central Bank template</w:t>
            </w:r>
          </w:p>
        </w:tc>
      </w:tr>
      <w:tr>
        <w:trPr>
          <w:cantSplit/>
        </w:trPr>
        <w:tc>
          <w:tcPr>
            <w:tcW w:type="dxa" w:w="3500"/>
            <w:vAlign w:val="center"/>
          </w:tcPr>
          <w:p>
            <w:pPr>
              <w:spacing w:before="0" w:after="30" w:line="240" w:lineRule="auto"/>
            </w:pPr>
            <w:r>
              <w:rPr>
                <w:rFonts w:ascii="Arial" w:hAnsi="Arial"/>
                <w:b w:val="0"/>
                <w:color w:val="2D3741"/>
                <w:sz w:val="16"/>
              </w:rPr>
              <w:t>Primary authorised user / alternate</w:t>
            </w:r>
          </w:p>
        </w:tc>
        <w:tc>
          <w:tcPr>
            <w:tcW w:type="dxa" w:w="6378"/>
            <w:vAlign w:val="center"/>
            <w:shd w:fill="FFF2CC"/>
          </w:tcPr>
          <w:p>
            <w:pPr>
              <w:spacing w:before="0" w:after="30" w:line="240" w:lineRule="auto"/>
            </w:pPr>
            <w:r>
              <w:rPr>
                <w:rFonts w:ascii="Arial" w:hAnsi="Arial"/>
                <w:b w:val="0"/>
                <w:color w:val="2D3741"/>
                <w:sz w:val="16"/>
              </w:rPr>
              <w:t>[NAME / ROLE / CONTACT]</w:t>
            </w:r>
          </w:p>
        </w:tc>
      </w:tr>
      <w:tr>
        <w:trPr>
          <w:cantSplit/>
        </w:trPr>
        <w:tc>
          <w:tcPr>
            <w:tcW w:type="dxa" w:w="3500"/>
            <w:vAlign w:val="center"/>
          </w:tcPr>
          <w:p>
            <w:pPr>
              <w:spacing w:before="0" w:after="30" w:line="240" w:lineRule="auto"/>
            </w:pPr>
            <w:r>
              <w:rPr>
                <w:rFonts w:ascii="Arial" w:hAnsi="Arial"/>
                <w:b w:val="0"/>
                <w:color w:val="2D3741"/>
                <w:sz w:val="16"/>
              </w:rPr>
              <w:t>Portal-access test date and result</w:t>
            </w:r>
          </w:p>
        </w:tc>
        <w:tc>
          <w:tcPr>
            <w:tcW w:type="dxa" w:w="6378"/>
            <w:vAlign w:val="center"/>
            <w:shd w:fill="FFF2CC"/>
          </w:tcPr>
          <w:p>
            <w:pPr>
              <w:spacing w:before="0" w:after="30" w:line="240" w:lineRule="auto"/>
            </w:pPr>
            <w:r>
              <w:rPr>
                <w:rFonts w:ascii="Arial" w:hAnsi="Arial"/>
                <w:b w:val="0"/>
                <w:color w:val="2D3741"/>
                <w:sz w:val="16"/>
              </w:rPr>
              <w:t>[DATE / RESULT / EVIDENCE]</w:t>
            </w:r>
          </w:p>
        </w:tc>
      </w:tr>
      <w:tr>
        <w:trPr>
          <w:cantSplit/>
        </w:trPr>
        <w:tc>
          <w:tcPr>
            <w:tcW w:type="dxa" w:w="3500"/>
            <w:vAlign w:val="center"/>
          </w:tcPr>
          <w:p>
            <w:pPr>
              <w:spacing w:before="0" w:after="30" w:line="240" w:lineRule="auto"/>
            </w:pPr>
            <w:r>
              <w:rPr>
                <w:rFonts w:ascii="Arial" w:hAnsi="Arial"/>
                <w:b w:val="0"/>
                <w:color w:val="2D3741"/>
                <w:sz w:val="16"/>
              </w:rPr>
              <w:t>Fallback secure contact / route</w:t>
            </w:r>
          </w:p>
        </w:tc>
        <w:tc>
          <w:tcPr>
            <w:tcW w:type="dxa" w:w="6378"/>
            <w:vAlign w:val="center"/>
            <w:shd w:fill="FFF2CC"/>
          </w:tcPr>
          <w:p>
            <w:pPr>
              <w:spacing w:before="0" w:after="30" w:line="240" w:lineRule="auto"/>
            </w:pPr>
            <w:r>
              <w:rPr>
                <w:rFonts w:ascii="Arial" w:hAnsi="Arial"/>
                <w:b w:val="0"/>
                <w:color w:val="2D3741"/>
                <w:sz w:val="16"/>
              </w:rPr>
              <w:t>[CONFIRM WITH CENTRAL BANK]</w:t>
            </w:r>
          </w:p>
        </w:tc>
      </w:tr>
      <w:tr>
        <w:trPr>
          <w:cantSplit/>
        </w:trPr>
        <w:tc>
          <w:tcPr>
            <w:tcW w:type="dxa" w:w="3500"/>
            <w:vAlign w:val="center"/>
          </w:tcPr>
          <w:p>
            <w:pPr>
              <w:spacing w:before="0" w:after="30" w:line="240" w:lineRule="auto"/>
            </w:pPr>
            <w:r>
              <w:rPr>
                <w:rFonts w:ascii="Arial" w:hAnsi="Arial"/>
                <w:b w:val="0"/>
                <w:color w:val="2D3741"/>
                <w:sz w:val="16"/>
              </w:rPr>
              <w:t>DORA contact email for queries</w:t>
            </w:r>
          </w:p>
        </w:tc>
        <w:tc>
          <w:tcPr>
            <w:tcW w:type="dxa" w:w="6378"/>
            <w:vAlign w:val="center"/>
            <w:shd w:fill="FFF2CC"/>
          </w:tcPr>
          <w:p>
            <w:pPr>
              <w:spacing w:before="0" w:after="30" w:line="240" w:lineRule="auto"/>
            </w:pPr>
            <w:r>
              <w:rPr>
                <w:rFonts w:ascii="Arial" w:hAnsi="Arial"/>
                <w:b w:val="0"/>
                <w:color w:val="2D3741"/>
                <w:sz w:val="16"/>
              </w:rPr>
              <w:t>DORA@sedlabanki.is</w:t>
            </w:r>
          </w:p>
        </w:tc>
      </w:tr>
      <w:tr>
        <w:trPr>
          <w:cantSplit/>
        </w:trPr>
        <w:tc>
          <w:tcPr>
            <w:tcW w:type="dxa" w:w="3500"/>
            <w:vAlign w:val="center"/>
          </w:tcPr>
          <w:p>
            <w:pPr>
              <w:spacing w:before="0" w:after="30" w:line="240" w:lineRule="auto"/>
            </w:pPr>
            <w:r>
              <w:rPr>
                <w:rFonts w:ascii="Arial" w:hAnsi="Arial"/>
                <w:b w:val="0"/>
                <w:color w:val="2D3741"/>
                <w:sz w:val="16"/>
              </w:rPr>
              <w:t>Last authority-instruction review</w:t>
            </w:r>
          </w:p>
        </w:tc>
        <w:tc>
          <w:tcPr>
            <w:tcW w:type="dxa" w:w="6378"/>
            <w:vAlign w:val="center"/>
            <w:shd w:fill="FFF2CC"/>
          </w:tcPr>
          <w:p>
            <w:pPr>
              <w:spacing w:before="0" w:after="30" w:line="240" w:lineRule="auto"/>
            </w:pPr>
            <w:r>
              <w:rPr>
                <w:rFonts w:ascii="Arial" w:hAnsi="Arial"/>
                <w:b w:val="0"/>
                <w:color w:val="2D3741"/>
                <w:sz w:val="16"/>
              </w:rPr>
              <w:t>[DATE / REVIEWER / CHANGE]</w:t>
            </w:r>
          </w:p>
        </w:tc>
      </w:tr>
    </w:tbl>
    <w:p>
      <w:pPr>
        <w:spacing w:after="20"/>
      </w:pPr>
    </w:p>
    <w:p>
      <w:pPr>
        <w:pStyle w:val="Heading2"/>
        <w:keepNext/>
      </w:pPr>
      <w:r>
        <w:t>D2. Authority request and feedback log</w:t>
      </w:r>
    </w:p>
    <w:tbl>
      <w:tblPr>
        <w:tblStyle w:val="TableGrid"/>
        <w:tblW w:type="dxa" w:w="9878"/>
        <w:tblLayout w:type="fixed"/>
        <w:tblLook w:firstColumn="1" w:firstRow="1" w:lastColumn="0" w:lastRow="0" w:noHBand="0" w:noVBand="1" w:val="04A0"/>
        <w:tblInd w:w="90" w:type="dxa"/>
      </w:tblPr>
      <w:tblGrid>
        <w:gridCol w:w="1500"/>
        <w:gridCol w:w="3300"/>
        <w:gridCol w:w="2200"/>
        <w:gridCol w:w="2878"/>
      </w:tblGrid>
      <w:tr>
        <w:trPr>
          <w:tblHeader w:val="true"/>
          <w:cantSplit/>
          <w:tblHeader w:val="true"/>
        </w:trPr>
        <w:tc>
          <w:tcPr>
            <w:tcW w:type="dxa" w:w="15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Date</w:t>
            </w:r>
          </w:p>
        </w:tc>
        <w:tc>
          <w:tcPr>
            <w:tcW w:type="dxa" w:w="33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Authority communication</w:t>
            </w:r>
          </w:p>
        </w:tc>
        <w:tc>
          <w:tcPr>
            <w:tcW w:type="dxa" w:w="22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Owner / deadline</w:t>
            </w:r>
          </w:p>
        </w:tc>
        <w:tc>
          <w:tcPr>
            <w:tcW w:type="dxa" w:w="2878"/>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Response / action / evidence</w:t>
            </w:r>
          </w:p>
        </w:tc>
      </w:tr>
      <w:tr>
        <w:trPr>
          <w:cantSplit/>
        </w:trPr>
        <w:tc>
          <w:tcPr>
            <w:tcW w:type="dxa" w:w="1500"/>
            <w:vAlign w:val="center"/>
            <w:shd w:fill="FFF2CC"/>
          </w:tcPr>
          <w:p>
            <w:pPr>
              <w:spacing w:before="0" w:after="30" w:line="240" w:lineRule="auto"/>
            </w:pPr>
            <w:r>
              <w:rPr>
                <w:rFonts w:ascii="Arial" w:hAnsi="Arial"/>
                <w:b w:val="0"/>
                <w:color w:val="2D3741"/>
                <w:sz w:val="16"/>
              </w:rPr>
              <w:t>[DATE]</w:t>
            </w:r>
          </w:p>
        </w:tc>
        <w:tc>
          <w:tcPr>
            <w:tcW w:type="dxa" w:w="3300"/>
            <w:vAlign w:val="center"/>
            <w:shd w:fill="FFF2CC"/>
          </w:tcPr>
          <w:p>
            <w:pPr>
              <w:spacing w:before="0" w:after="30" w:line="240" w:lineRule="auto"/>
            </w:pPr>
            <w:r>
              <w:rPr>
                <w:rFonts w:ascii="Arial" w:hAnsi="Arial"/>
                <w:b w:val="0"/>
                <w:color w:val="2D3741"/>
                <w:sz w:val="16"/>
              </w:rPr>
              <w:t>[COMPLETE]</w:t>
            </w:r>
          </w:p>
        </w:tc>
        <w:tc>
          <w:tcPr>
            <w:tcW w:type="dxa" w:w="2200"/>
            <w:vAlign w:val="center"/>
            <w:shd w:fill="FFF2CC"/>
          </w:tcPr>
          <w:p>
            <w:pPr>
              <w:spacing w:before="0" w:after="30" w:line="240" w:lineRule="auto"/>
            </w:pPr>
            <w:r>
              <w:rPr>
                <w:rFonts w:ascii="Arial" w:hAnsi="Arial"/>
                <w:b w:val="0"/>
                <w:color w:val="2D3741"/>
                <w:sz w:val="16"/>
              </w:rPr>
              <w:t>[NAME / DATE]</w:t>
            </w:r>
          </w:p>
        </w:tc>
        <w:tc>
          <w:tcPr>
            <w:tcW w:type="dxa" w:w="2878"/>
            <w:vAlign w:val="center"/>
            <w:shd w:fill="FFF2CC"/>
          </w:tcPr>
          <w:p>
            <w:pPr>
              <w:spacing w:before="0" w:after="30" w:line="240" w:lineRule="auto"/>
            </w:pPr>
            <w:r>
              <w:rPr>
                <w:rFonts w:ascii="Arial" w:hAnsi="Arial"/>
                <w:b w:val="0"/>
                <w:color w:val="2D3741"/>
                <w:sz w:val="16"/>
              </w:rPr>
              <w:t>[COMPLETE]</w:t>
            </w:r>
          </w:p>
        </w:tc>
      </w:tr>
      <w:tr>
        <w:trPr>
          <w:cantSplit/>
        </w:trPr>
        <w:tc>
          <w:tcPr>
            <w:tcW w:type="dxa" w:w="1500"/>
            <w:vAlign w:val="center"/>
            <w:shd w:fill="FFF2CC"/>
          </w:tcPr>
          <w:p>
            <w:pPr>
              <w:spacing w:before="0" w:after="30" w:line="240" w:lineRule="auto"/>
            </w:pPr>
            <w:r>
              <w:rPr>
                <w:rFonts w:ascii="Arial" w:hAnsi="Arial"/>
                <w:b w:val="0"/>
                <w:color w:val="2D3741"/>
                <w:sz w:val="16"/>
              </w:rPr>
              <w:t>[DATE]</w:t>
            </w:r>
          </w:p>
        </w:tc>
        <w:tc>
          <w:tcPr>
            <w:tcW w:type="dxa" w:w="3300"/>
            <w:vAlign w:val="center"/>
            <w:shd w:fill="FFF2CC"/>
          </w:tcPr>
          <w:p>
            <w:pPr>
              <w:spacing w:before="0" w:after="30" w:line="240" w:lineRule="auto"/>
            </w:pPr>
            <w:r>
              <w:rPr>
                <w:rFonts w:ascii="Arial" w:hAnsi="Arial"/>
                <w:b w:val="0"/>
                <w:color w:val="2D3741"/>
                <w:sz w:val="16"/>
              </w:rPr>
              <w:t>[COMPLETE]</w:t>
            </w:r>
          </w:p>
        </w:tc>
        <w:tc>
          <w:tcPr>
            <w:tcW w:type="dxa" w:w="2200"/>
            <w:vAlign w:val="center"/>
            <w:shd w:fill="FFF2CC"/>
          </w:tcPr>
          <w:p>
            <w:pPr>
              <w:spacing w:before="0" w:after="30" w:line="240" w:lineRule="auto"/>
            </w:pPr>
            <w:r>
              <w:rPr>
                <w:rFonts w:ascii="Arial" w:hAnsi="Arial"/>
                <w:b w:val="0"/>
                <w:color w:val="2D3741"/>
                <w:sz w:val="16"/>
              </w:rPr>
              <w:t>[NAME / DATE]</w:t>
            </w:r>
          </w:p>
        </w:tc>
        <w:tc>
          <w:tcPr>
            <w:tcW w:type="dxa" w:w="2878"/>
            <w:vAlign w:val="center"/>
            <w:shd w:fill="FFF2CC"/>
          </w:tcPr>
          <w:p>
            <w:pPr>
              <w:spacing w:before="0" w:after="30" w:line="240" w:lineRule="auto"/>
            </w:pPr>
            <w:r>
              <w:rPr>
                <w:rFonts w:ascii="Arial" w:hAnsi="Arial"/>
                <w:b w:val="0"/>
                <w:color w:val="2D3741"/>
                <w:sz w:val="16"/>
              </w:rPr>
              <w:t>[COMPLETE]</w:t>
            </w:r>
          </w:p>
        </w:tc>
      </w:tr>
      <w:tr>
        <w:trPr>
          <w:cantSplit/>
        </w:trPr>
        <w:tc>
          <w:tcPr>
            <w:tcW w:type="dxa" w:w="1500"/>
            <w:vAlign w:val="center"/>
            <w:shd w:fill="FFF2CC"/>
          </w:tcPr>
          <w:p>
            <w:pPr>
              <w:spacing w:before="0" w:after="30" w:line="240" w:lineRule="auto"/>
            </w:pPr>
            <w:r>
              <w:rPr>
                <w:rFonts w:ascii="Arial" w:hAnsi="Arial"/>
                <w:b w:val="0"/>
                <w:color w:val="2D3741"/>
                <w:sz w:val="16"/>
              </w:rPr>
              <w:t>[DATE]</w:t>
            </w:r>
          </w:p>
        </w:tc>
        <w:tc>
          <w:tcPr>
            <w:tcW w:type="dxa" w:w="3300"/>
            <w:vAlign w:val="center"/>
            <w:shd w:fill="FFF2CC"/>
          </w:tcPr>
          <w:p>
            <w:pPr>
              <w:spacing w:before="0" w:after="30" w:line="240" w:lineRule="auto"/>
            </w:pPr>
            <w:r>
              <w:rPr>
                <w:rFonts w:ascii="Arial" w:hAnsi="Arial"/>
                <w:b w:val="0"/>
                <w:color w:val="2D3741"/>
                <w:sz w:val="16"/>
              </w:rPr>
              <w:t>[COMPLETE]</w:t>
            </w:r>
          </w:p>
        </w:tc>
        <w:tc>
          <w:tcPr>
            <w:tcW w:type="dxa" w:w="2200"/>
            <w:vAlign w:val="center"/>
            <w:shd w:fill="FFF2CC"/>
          </w:tcPr>
          <w:p>
            <w:pPr>
              <w:spacing w:before="0" w:after="30" w:line="240" w:lineRule="auto"/>
            </w:pPr>
            <w:r>
              <w:rPr>
                <w:rFonts w:ascii="Arial" w:hAnsi="Arial"/>
                <w:b w:val="0"/>
                <w:color w:val="2D3741"/>
                <w:sz w:val="16"/>
              </w:rPr>
              <w:t>[NAME / DATE]</w:t>
            </w:r>
          </w:p>
        </w:tc>
        <w:tc>
          <w:tcPr>
            <w:tcW w:type="dxa" w:w="2878"/>
            <w:vAlign w:val="center"/>
            <w:shd w:fill="FFF2CC"/>
          </w:tcPr>
          <w:p>
            <w:pPr>
              <w:spacing w:before="0" w:after="30" w:line="240" w:lineRule="auto"/>
            </w:pPr>
            <w:r>
              <w:rPr>
                <w:rFonts w:ascii="Arial" w:hAnsi="Arial"/>
                <w:b w:val="0"/>
                <w:color w:val="2D3741"/>
                <w:sz w:val="16"/>
              </w:rPr>
              <w:t>[COMPLETE]</w:t>
            </w:r>
          </w:p>
        </w:tc>
      </w:tr>
    </w:tbl>
    <w:p>
      <w:pPr>
        <w:spacing w:after="20"/>
      </w:pPr>
    </w:p>
    <w:p>
      <w:r>
        <w:br w:type="page"/>
      </w:r>
    </w:p>
    <w:p>
      <w:pPr>
        <w:pStyle w:val="Heading1"/>
        <w:keepNext/>
      </w:pPr>
      <w:r>
        <w:t>Annex E — Optional Information-Sharing Decision Record</w:t>
      </w:r>
    </w:p>
    <w:tbl>
      <w:tblPr>
        <w:tblW w:type="dxa" w:w="9878"/>
        <w:tblLayout w:type="fixed"/>
        <w:tblLook w:firstColumn="1" w:firstRow="1" w:lastColumn="0" w:lastRow="0" w:noHBand="0" w:noVBand="1" w:val="04A0"/>
        <w:tblInd w:w="90" w:type="dxa"/>
      </w:tblPr>
      <w:tblGrid>
        <w:gridCol w:w="1500"/>
        <w:gridCol w:w="8378"/>
      </w:tblGrid>
      <w:tr>
        <w:trPr>
          <w:cantSplit/>
          <w:tblHeader w:val="true"/>
        </w:trPr>
        <w:tc>
          <w:tcPr>
            <w:tcW w:type="dxa" w:w="15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OPTIONAL</w:t>
            </w:r>
          </w:p>
        </w:tc>
        <w:tc>
          <w:tcPr>
            <w:tcW w:type="dxa" w:w="8378"/>
            <w:tcMar>
              <w:top w:w="70" w:type="dxa"/>
              <w:start w:w="90" w:type="dxa"/>
              <w:bottom w:w="70" w:type="dxa"/>
              <w:end w:w="90" w:type="dxa"/>
            </w:tcMar>
            <w:vAlign w:val="center"/>
            <w:shd w:fill="EEF2F6"/>
          </w:tcPr>
          <w:p>
            <w:pPr>
              <w:spacing w:before="0" w:after="30" w:line="240" w:lineRule="auto"/>
            </w:pPr>
            <w:r>
              <w:rPr>
                <w:rFonts w:ascii="Arial" w:hAnsi="Arial"/>
                <w:b w:val="0"/>
                <w:color w:val="2D3741"/>
                <w:sz w:val="16"/>
              </w:rPr>
              <w:t>Complete only where the firm proposes to participate in an information-sharing arrangement under DORA Article 45. Participation is not a baseline compliance requirement.</w:t>
            </w:r>
          </w:p>
        </w:tc>
      </w:tr>
    </w:tbl>
    <w:p>
      <w:pPr>
        <w:spacing w:after="40"/>
      </w:pPr>
    </w:p>
    <w:tbl>
      <w:tblPr>
        <w:tblStyle w:val="TableGrid"/>
        <w:tblW w:type="dxa" w:w="9878"/>
        <w:tblLayout w:type="fixed"/>
        <w:tblLook w:firstColumn="1" w:firstRow="1" w:lastColumn="0" w:lastRow="0" w:noHBand="0" w:noVBand="1" w:val="04A0"/>
        <w:tblInd w:w="90" w:type="dxa"/>
      </w:tblPr>
      <w:tblGrid>
        <w:gridCol w:w="4300"/>
        <w:gridCol w:w="5578"/>
      </w:tblGrid>
      <w:tr>
        <w:trPr>
          <w:tblHeader w:val="true"/>
          <w:cantSplit/>
          <w:tblHeader w:val="true"/>
        </w:trPr>
        <w:tc>
          <w:tcPr>
            <w:tcW w:type="dxa" w:w="43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Decision field</w:t>
            </w:r>
          </w:p>
        </w:tc>
        <w:tc>
          <w:tcPr>
            <w:tcW w:type="dxa" w:w="5578"/>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Assessment / controlled entry</w:t>
            </w:r>
          </w:p>
        </w:tc>
      </w:tr>
      <w:tr>
        <w:trPr>
          <w:cantSplit/>
        </w:trPr>
        <w:tc>
          <w:tcPr>
            <w:tcW w:type="dxa" w:w="4300"/>
            <w:vAlign w:val="center"/>
          </w:tcPr>
          <w:p>
            <w:pPr>
              <w:spacing w:before="0" w:after="30" w:line="240" w:lineRule="auto"/>
            </w:pPr>
            <w:r>
              <w:rPr>
                <w:rFonts w:ascii="Arial" w:hAnsi="Arial"/>
                <w:b w:val="0"/>
                <w:color w:val="2D3741"/>
                <w:sz w:val="16"/>
              </w:rPr>
              <w:t>Proposed arrangement and participants</w:t>
            </w:r>
          </w:p>
        </w:tc>
        <w:tc>
          <w:tcPr>
            <w:tcW w:type="dxa" w:w="5578"/>
            <w:vAlign w:val="center"/>
            <w:shd w:fill="FFF2CC"/>
          </w:tcPr>
          <w:p>
            <w:pPr>
              <w:spacing w:before="0" w:after="30" w:line="240" w:lineRule="auto"/>
            </w:pPr>
            <w:r>
              <w:rPr>
                <w:rFonts w:ascii="Arial" w:hAnsi="Arial"/>
                <w:b w:val="0"/>
                <w:color w:val="2D3741"/>
                <w:sz w:val="16"/>
              </w:rPr>
              <w:t>[NAME / OPERATOR / PARTICIPANTS / JURISDICTIONS]</w:t>
            </w:r>
          </w:p>
        </w:tc>
      </w:tr>
      <w:tr>
        <w:trPr>
          <w:cantSplit/>
        </w:trPr>
        <w:tc>
          <w:tcPr>
            <w:tcW w:type="dxa" w:w="4300"/>
            <w:vAlign w:val="center"/>
          </w:tcPr>
          <w:p>
            <w:pPr>
              <w:spacing w:before="0" w:after="30" w:line="240" w:lineRule="auto"/>
            </w:pPr>
            <w:r>
              <w:rPr>
                <w:rFonts w:ascii="Arial" w:hAnsi="Arial"/>
                <w:b w:val="0"/>
                <w:color w:val="2D3741"/>
                <w:sz w:val="16"/>
              </w:rPr>
              <w:t>Purpose and expected benefit</w:t>
            </w:r>
          </w:p>
        </w:tc>
        <w:tc>
          <w:tcPr>
            <w:tcW w:type="dxa" w:w="5578"/>
            <w:vAlign w:val="center"/>
            <w:shd w:fill="FFF2CC"/>
          </w:tcPr>
          <w:p>
            <w:pPr>
              <w:spacing w:before="0" w:after="30" w:line="240" w:lineRule="auto"/>
            </w:pPr>
            <w:r>
              <w:rPr>
                <w:rFonts w:ascii="Arial" w:hAnsi="Arial"/>
                <w:b w:val="0"/>
                <w:color w:val="2D3741"/>
                <w:sz w:val="16"/>
              </w:rPr>
              <w:t>[THREAT INTELLIGENCE / AWARENESS / DEFENCE BENEFIT]</w:t>
            </w:r>
          </w:p>
        </w:tc>
      </w:tr>
      <w:tr>
        <w:trPr>
          <w:cantSplit/>
        </w:trPr>
        <w:tc>
          <w:tcPr>
            <w:tcW w:type="dxa" w:w="4300"/>
            <w:vAlign w:val="center"/>
          </w:tcPr>
          <w:p>
            <w:pPr>
              <w:spacing w:before="0" w:after="30" w:line="240" w:lineRule="auto"/>
            </w:pPr>
            <w:r>
              <w:rPr>
                <w:rFonts w:ascii="Arial" w:hAnsi="Arial"/>
                <w:b w:val="0"/>
                <w:color w:val="2D3741"/>
                <w:sz w:val="16"/>
              </w:rPr>
              <w:t>Trusted-community conditions</w:t>
            </w:r>
          </w:p>
        </w:tc>
        <w:tc>
          <w:tcPr>
            <w:tcW w:type="dxa" w:w="5578"/>
            <w:vAlign w:val="center"/>
            <w:shd w:fill="FFF2CC"/>
          </w:tcPr>
          <w:p>
            <w:pPr>
              <w:spacing w:before="0" w:after="30" w:line="240" w:lineRule="auto"/>
            </w:pPr>
            <w:r>
              <w:rPr>
                <w:rFonts w:ascii="Arial" w:hAnsi="Arial"/>
                <w:b w:val="0"/>
                <w:color w:val="2D3741"/>
                <w:sz w:val="16"/>
              </w:rPr>
              <w:t>[MEMBERSHIP / GOVERNANCE / SECURITY / ENFORCEMENT]</w:t>
            </w:r>
          </w:p>
        </w:tc>
      </w:tr>
      <w:tr>
        <w:trPr>
          <w:cantSplit/>
        </w:trPr>
        <w:tc>
          <w:tcPr>
            <w:tcW w:type="dxa" w:w="4300"/>
            <w:vAlign w:val="center"/>
          </w:tcPr>
          <w:p>
            <w:pPr>
              <w:spacing w:before="0" w:after="30" w:line="240" w:lineRule="auto"/>
            </w:pPr>
            <w:r>
              <w:rPr>
                <w:rFonts w:ascii="Arial" w:hAnsi="Arial"/>
                <w:b w:val="0"/>
                <w:color w:val="2D3741"/>
                <w:sz w:val="16"/>
              </w:rPr>
              <w:t>Information to be shared or received</w:t>
            </w:r>
          </w:p>
        </w:tc>
        <w:tc>
          <w:tcPr>
            <w:tcW w:type="dxa" w:w="5578"/>
            <w:vAlign w:val="center"/>
            <w:shd w:fill="FFF2CC"/>
          </w:tcPr>
          <w:p>
            <w:pPr>
              <w:spacing w:before="0" w:after="30" w:line="240" w:lineRule="auto"/>
            </w:pPr>
            <w:r>
              <w:rPr>
                <w:rFonts w:ascii="Arial" w:hAnsi="Arial"/>
                <w:b w:val="0"/>
                <w:color w:val="2D3741"/>
                <w:sz w:val="16"/>
              </w:rPr>
              <w:t>[TYPES / SOURCES / CLASSIFICATIONS]</w:t>
            </w:r>
          </w:p>
        </w:tc>
      </w:tr>
      <w:tr>
        <w:trPr>
          <w:cantSplit/>
        </w:trPr>
        <w:tc>
          <w:tcPr>
            <w:tcW w:type="dxa" w:w="4300"/>
            <w:vAlign w:val="center"/>
          </w:tcPr>
          <w:p>
            <w:pPr>
              <w:spacing w:before="0" w:after="30" w:line="240" w:lineRule="auto"/>
            </w:pPr>
            <w:r>
              <w:rPr>
                <w:rFonts w:ascii="Arial" w:hAnsi="Arial"/>
                <w:b w:val="0"/>
                <w:color w:val="2D3741"/>
                <w:sz w:val="16"/>
              </w:rPr>
              <w:t>Sensitivity and permitted use</w:t>
            </w:r>
          </w:p>
        </w:tc>
        <w:tc>
          <w:tcPr>
            <w:tcW w:type="dxa" w:w="5578"/>
            <w:vAlign w:val="center"/>
            <w:shd w:fill="FFF2CC"/>
          </w:tcPr>
          <w:p>
            <w:pPr>
              <w:spacing w:before="0" w:after="30" w:line="240" w:lineRule="auto"/>
            </w:pPr>
            <w:r>
              <w:rPr>
                <w:rFonts w:ascii="Arial" w:hAnsi="Arial"/>
                <w:b w:val="0"/>
                <w:color w:val="2D3741"/>
                <w:sz w:val="16"/>
              </w:rPr>
              <w:t>[HANDLING / ACCESS / REDISTRIBUTION / RETENTION]</w:t>
            </w:r>
          </w:p>
        </w:tc>
      </w:tr>
      <w:tr>
        <w:trPr>
          <w:cantSplit/>
        </w:trPr>
        <w:tc>
          <w:tcPr>
            <w:tcW w:type="dxa" w:w="4300"/>
            <w:vAlign w:val="center"/>
          </w:tcPr>
          <w:p>
            <w:pPr>
              <w:spacing w:before="0" w:after="30" w:line="240" w:lineRule="auto"/>
            </w:pPr>
            <w:r>
              <w:rPr>
                <w:rFonts w:ascii="Arial" w:hAnsi="Arial"/>
                <w:b w:val="0"/>
                <w:color w:val="2D3741"/>
                <w:sz w:val="16"/>
              </w:rPr>
              <w:t>Confidentiality, trade-secret and personal-data assessment</w:t>
            </w:r>
          </w:p>
        </w:tc>
        <w:tc>
          <w:tcPr>
            <w:tcW w:type="dxa" w:w="5578"/>
            <w:vAlign w:val="center"/>
            <w:shd w:fill="FFF2CC"/>
          </w:tcPr>
          <w:p>
            <w:pPr>
              <w:spacing w:before="0" w:after="30" w:line="240" w:lineRule="auto"/>
            </w:pPr>
            <w:r>
              <w:rPr>
                <w:rFonts w:ascii="Arial" w:hAnsi="Arial"/>
                <w:b w:val="0"/>
                <w:color w:val="2D3741"/>
                <w:sz w:val="16"/>
              </w:rPr>
              <w:t>[LEGAL / PRIVACY / SECURITY CONCLUSION]</w:t>
            </w:r>
          </w:p>
        </w:tc>
      </w:tr>
      <w:tr>
        <w:trPr>
          <w:cantSplit/>
        </w:trPr>
        <w:tc>
          <w:tcPr>
            <w:tcW w:type="dxa" w:w="4300"/>
            <w:vAlign w:val="center"/>
          </w:tcPr>
          <w:p>
            <w:pPr>
              <w:spacing w:before="0" w:after="30" w:line="240" w:lineRule="auto"/>
            </w:pPr>
            <w:r>
              <w:rPr>
                <w:rFonts w:ascii="Arial" w:hAnsi="Arial"/>
                <w:b w:val="0"/>
                <w:color w:val="2D3741"/>
                <w:sz w:val="16"/>
              </w:rPr>
              <w:t>Potential impact on clients or financial counterparts</w:t>
            </w:r>
          </w:p>
        </w:tc>
        <w:tc>
          <w:tcPr>
            <w:tcW w:type="dxa" w:w="5578"/>
            <w:vAlign w:val="center"/>
            <w:shd w:fill="FFF2CC"/>
          </w:tcPr>
          <w:p>
            <w:pPr>
              <w:spacing w:before="0" w:after="30" w:line="240" w:lineRule="auto"/>
            </w:pPr>
            <w:r>
              <w:rPr>
                <w:rFonts w:ascii="Arial" w:hAnsi="Arial"/>
                <w:b w:val="0"/>
                <w:color w:val="2D3741"/>
                <w:sz w:val="16"/>
              </w:rPr>
              <w:t>[ASSESSMENT / MITIGATION]</w:t>
            </w:r>
          </w:p>
        </w:tc>
      </w:tr>
      <w:tr>
        <w:trPr>
          <w:cantSplit/>
        </w:trPr>
        <w:tc>
          <w:tcPr>
            <w:tcW w:type="dxa" w:w="4300"/>
            <w:vAlign w:val="center"/>
          </w:tcPr>
          <w:p>
            <w:pPr>
              <w:spacing w:before="0" w:after="30" w:line="240" w:lineRule="auto"/>
            </w:pPr>
            <w:r>
              <w:rPr>
                <w:rFonts w:ascii="Arial" w:hAnsi="Arial"/>
                <w:b w:val="0"/>
                <w:color w:val="2D3741"/>
                <w:sz w:val="16"/>
              </w:rPr>
              <w:t>Operational owner and monitoring</w:t>
            </w:r>
          </w:p>
        </w:tc>
        <w:tc>
          <w:tcPr>
            <w:tcW w:type="dxa" w:w="5578"/>
            <w:vAlign w:val="center"/>
            <w:shd w:fill="FFF2CC"/>
          </w:tcPr>
          <w:p>
            <w:pPr>
              <w:spacing w:before="0" w:after="30" w:line="240" w:lineRule="auto"/>
            </w:pPr>
            <w:r>
              <w:rPr>
                <w:rFonts w:ascii="Arial" w:hAnsi="Arial"/>
                <w:b w:val="0"/>
                <w:color w:val="2D3741"/>
                <w:sz w:val="16"/>
              </w:rPr>
              <w:t>[NAME / ROLE / REVIEW CADENCE]</w:t>
            </w:r>
          </w:p>
        </w:tc>
      </w:tr>
      <w:tr>
        <w:trPr>
          <w:cantSplit/>
        </w:trPr>
        <w:tc>
          <w:tcPr>
            <w:tcW w:type="dxa" w:w="4300"/>
            <w:vAlign w:val="center"/>
          </w:tcPr>
          <w:p>
            <w:pPr>
              <w:spacing w:before="0" w:after="30" w:line="240" w:lineRule="auto"/>
            </w:pPr>
            <w:r>
              <w:rPr>
                <w:rFonts w:ascii="Arial" w:hAnsi="Arial"/>
                <w:b w:val="0"/>
                <w:color w:val="2D3741"/>
                <w:sz w:val="16"/>
              </w:rPr>
              <w:t>Management approval</w:t>
            </w:r>
          </w:p>
        </w:tc>
        <w:tc>
          <w:tcPr>
            <w:tcW w:type="dxa" w:w="5578"/>
            <w:vAlign w:val="center"/>
            <w:shd w:fill="FFF2CC"/>
          </w:tcPr>
          <w:p>
            <w:pPr>
              <w:spacing w:before="0" w:after="30" w:line="240" w:lineRule="auto"/>
            </w:pPr>
            <w:r>
              <w:rPr>
                <w:rFonts w:ascii="Arial" w:hAnsi="Arial"/>
                <w:b w:val="0"/>
                <w:color w:val="2D3741"/>
                <w:sz w:val="16"/>
              </w:rPr>
              <w:t>[APPROVER / DATE / CONDITIONS]</w:t>
            </w:r>
          </w:p>
        </w:tc>
      </w:tr>
      <w:tr>
        <w:trPr>
          <w:cantSplit/>
        </w:trPr>
        <w:tc>
          <w:tcPr>
            <w:tcW w:type="dxa" w:w="4300"/>
            <w:vAlign w:val="center"/>
          </w:tcPr>
          <w:p>
            <w:pPr>
              <w:spacing w:before="0" w:after="30" w:line="240" w:lineRule="auto"/>
            </w:pPr>
            <w:r>
              <w:rPr>
                <w:rFonts w:ascii="Arial" w:hAnsi="Arial"/>
                <w:b w:val="0"/>
                <w:color w:val="2D3741"/>
                <w:sz w:val="16"/>
              </w:rPr>
              <w:t>Competent-authority notification</w:t>
            </w:r>
          </w:p>
        </w:tc>
        <w:tc>
          <w:tcPr>
            <w:tcW w:type="dxa" w:w="5578"/>
            <w:vAlign w:val="center"/>
            <w:shd w:fill="FFF2CC"/>
          </w:tcPr>
          <w:p>
            <w:pPr>
              <w:spacing w:before="0" w:after="30" w:line="240" w:lineRule="auto"/>
            </w:pPr>
            <w:r>
              <w:rPr>
                <w:rFonts w:ascii="Arial" w:hAnsi="Arial"/>
                <w:b w:val="0"/>
                <w:color w:val="2D3741"/>
                <w:sz w:val="16"/>
              </w:rPr>
              <w:t>[REQUIRED / NOT REQUIRED / SUBMITTED + EVIDENCE]</w:t>
            </w:r>
          </w:p>
        </w:tc>
      </w:tr>
      <w:tr>
        <w:trPr>
          <w:cantSplit/>
        </w:trPr>
        <w:tc>
          <w:tcPr>
            <w:tcW w:type="dxa" w:w="4300"/>
            <w:vAlign w:val="center"/>
          </w:tcPr>
          <w:p>
            <w:pPr>
              <w:spacing w:before="0" w:after="30" w:line="240" w:lineRule="auto"/>
            </w:pPr>
            <w:r>
              <w:rPr>
                <w:rFonts w:ascii="Arial" w:hAnsi="Arial"/>
                <w:b w:val="0"/>
                <w:color w:val="2D3741"/>
                <w:sz w:val="16"/>
              </w:rPr>
              <w:t>Review and withdrawal trigger</w:t>
            </w:r>
          </w:p>
        </w:tc>
        <w:tc>
          <w:tcPr>
            <w:tcW w:type="dxa" w:w="5578"/>
            <w:vAlign w:val="center"/>
            <w:shd w:fill="FFF2CC"/>
          </w:tcPr>
          <w:p>
            <w:pPr>
              <w:spacing w:before="0" w:after="30" w:line="240" w:lineRule="auto"/>
            </w:pPr>
            <w:r>
              <w:rPr>
                <w:rFonts w:ascii="Arial" w:hAnsi="Arial"/>
                <w:b w:val="0"/>
                <w:color w:val="2D3741"/>
                <w:sz w:val="16"/>
              </w:rPr>
              <w:t>[DATE / TRIGGER / EXIT STEPS]</w:t>
            </w:r>
          </w:p>
        </w:tc>
      </w:tr>
    </w:tbl>
    <w:p>
      <w:pPr>
        <w:spacing w:after="20"/>
      </w:pPr>
    </w:p>
    <w:p>
      <w:pPr>
        <w:pStyle w:val="Heading2"/>
        <w:keepNext/>
      </w:pPr>
      <w:r>
        <w:t>E1. Periodic review and participation log</w:t>
      </w:r>
    </w:p>
    <w:tbl>
      <w:tblPr>
        <w:tblStyle w:val="TableGrid"/>
        <w:tblW w:type="dxa" w:w="9878"/>
        <w:tblLayout w:type="fixed"/>
        <w:tblLook w:firstColumn="1" w:firstRow="1" w:lastColumn="0" w:lastRow="0" w:noHBand="0" w:noVBand="1" w:val="04A0"/>
        <w:tblInd w:w="90" w:type="dxa"/>
      </w:tblPr>
      <w:tblGrid>
        <w:gridCol w:w="1700"/>
        <w:gridCol w:w="3100"/>
        <w:gridCol w:w="2700"/>
        <w:gridCol w:w="2378"/>
      </w:tblGrid>
      <w:tr>
        <w:trPr>
          <w:tblHeader w:val="true"/>
          <w:cantSplit/>
          <w:tblHeader w:val="true"/>
        </w:trPr>
        <w:tc>
          <w:tcPr>
            <w:tcW w:type="dxa" w:w="17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Review date</w:t>
            </w:r>
          </w:p>
        </w:tc>
        <w:tc>
          <w:tcPr>
            <w:tcW w:type="dxa" w:w="31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Benefit / issues</w:t>
            </w:r>
          </w:p>
        </w:tc>
        <w:tc>
          <w:tcPr>
            <w:tcW w:type="dxa" w:w="2700"/>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Control changes</w:t>
            </w:r>
          </w:p>
        </w:tc>
        <w:tc>
          <w:tcPr>
            <w:tcW w:type="dxa" w:w="2378"/>
            <w:tcMar>
              <w:top w:w="70" w:type="dxa"/>
              <w:start w:w="90" w:type="dxa"/>
              <w:bottom w:w="70" w:type="dxa"/>
              <w:end w:w="90" w:type="dxa"/>
            </w:tcMar>
            <w:vAlign w:val="center"/>
            <w:shd w:fill="17365D"/>
          </w:tcPr>
          <w:p>
            <w:pPr>
              <w:spacing w:before="0" w:after="30" w:line="240" w:lineRule="auto"/>
            </w:pPr>
            <w:r>
              <w:rPr>
                <w:rFonts w:ascii="Arial" w:hAnsi="Arial"/>
                <w:b/>
                <w:color w:val="FFFFFF"/>
                <w:sz w:val="16"/>
              </w:rPr>
              <w:t>Continue / withdraw / approver</w:t>
            </w:r>
          </w:p>
        </w:tc>
      </w:tr>
      <w:tr>
        <w:trPr>
          <w:cantSplit/>
        </w:trPr>
        <w:tc>
          <w:tcPr>
            <w:tcW w:type="dxa" w:w="1700"/>
            <w:vAlign w:val="center"/>
            <w:shd w:fill="FFF2CC"/>
          </w:tcPr>
          <w:p>
            <w:pPr>
              <w:spacing w:before="0" w:after="30" w:line="240" w:lineRule="auto"/>
            </w:pPr>
            <w:r>
              <w:rPr>
                <w:rFonts w:ascii="Arial" w:hAnsi="Arial"/>
                <w:b w:val="0"/>
                <w:color w:val="2D3741"/>
                <w:sz w:val="16"/>
              </w:rPr>
              <w:t>[DATE]</w:t>
            </w:r>
          </w:p>
        </w:tc>
        <w:tc>
          <w:tcPr>
            <w:tcW w:type="dxa" w:w="3100"/>
            <w:vAlign w:val="center"/>
            <w:shd w:fill="FFF2CC"/>
          </w:tcPr>
          <w:p>
            <w:pPr>
              <w:spacing w:before="0" w:after="30" w:line="240" w:lineRule="auto"/>
            </w:pPr>
            <w:r>
              <w:rPr>
                <w:rFonts w:ascii="Arial" w:hAnsi="Arial"/>
                <w:b w:val="0"/>
                <w:color w:val="2D3741"/>
                <w:sz w:val="16"/>
              </w:rPr>
              <w:t>[COMPLETE]</w:t>
            </w:r>
          </w:p>
        </w:tc>
        <w:tc>
          <w:tcPr>
            <w:tcW w:type="dxa" w:w="2700"/>
            <w:vAlign w:val="center"/>
            <w:shd w:fill="FFF2CC"/>
          </w:tcPr>
          <w:p>
            <w:pPr>
              <w:spacing w:before="0" w:after="30" w:line="240" w:lineRule="auto"/>
            </w:pPr>
            <w:r>
              <w:rPr>
                <w:rFonts w:ascii="Arial" w:hAnsi="Arial"/>
                <w:b w:val="0"/>
                <w:color w:val="2D3741"/>
                <w:sz w:val="16"/>
              </w:rPr>
              <w:t>[COMPLETE]</w:t>
            </w:r>
          </w:p>
        </w:tc>
        <w:tc>
          <w:tcPr>
            <w:tcW w:type="dxa" w:w="2378"/>
            <w:vAlign w:val="center"/>
            <w:shd w:fill="FFF2CC"/>
          </w:tcPr>
          <w:p>
            <w:pPr>
              <w:spacing w:before="0" w:after="30" w:line="240" w:lineRule="auto"/>
            </w:pPr>
            <w:r>
              <w:rPr>
                <w:rFonts w:ascii="Arial" w:hAnsi="Arial"/>
                <w:b w:val="0"/>
                <w:color w:val="2D3741"/>
                <w:sz w:val="16"/>
              </w:rPr>
              <w:t>[DECISION / NAME]</w:t>
            </w:r>
          </w:p>
        </w:tc>
      </w:tr>
      <w:tr>
        <w:trPr>
          <w:cantSplit/>
        </w:trPr>
        <w:tc>
          <w:tcPr>
            <w:tcW w:type="dxa" w:w="1700"/>
            <w:vAlign w:val="center"/>
            <w:shd w:fill="FFF2CC"/>
          </w:tcPr>
          <w:p>
            <w:pPr>
              <w:spacing w:before="0" w:after="30" w:line="240" w:lineRule="auto"/>
            </w:pPr>
            <w:r>
              <w:rPr>
                <w:rFonts w:ascii="Arial" w:hAnsi="Arial"/>
                <w:b w:val="0"/>
                <w:color w:val="2D3741"/>
                <w:sz w:val="16"/>
              </w:rPr>
              <w:t>[DATE]</w:t>
            </w:r>
          </w:p>
        </w:tc>
        <w:tc>
          <w:tcPr>
            <w:tcW w:type="dxa" w:w="3100"/>
            <w:vAlign w:val="center"/>
            <w:shd w:fill="FFF2CC"/>
          </w:tcPr>
          <w:p>
            <w:pPr>
              <w:spacing w:before="0" w:after="30" w:line="240" w:lineRule="auto"/>
            </w:pPr>
            <w:r>
              <w:rPr>
                <w:rFonts w:ascii="Arial" w:hAnsi="Arial"/>
                <w:b w:val="0"/>
                <w:color w:val="2D3741"/>
                <w:sz w:val="16"/>
              </w:rPr>
              <w:t>[COMPLETE]</w:t>
            </w:r>
          </w:p>
        </w:tc>
        <w:tc>
          <w:tcPr>
            <w:tcW w:type="dxa" w:w="2700"/>
            <w:vAlign w:val="center"/>
            <w:shd w:fill="FFF2CC"/>
          </w:tcPr>
          <w:p>
            <w:pPr>
              <w:spacing w:before="0" w:after="30" w:line="240" w:lineRule="auto"/>
            </w:pPr>
            <w:r>
              <w:rPr>
                <w:rFonts w:ascii="Arial" w:hAnsi="Arial"/>
                <w:b w:val="0"/>
                <w:color w:val="2D3741"/>
                <w:sz w:val="16"/>
              </w:rPr>
              <w:t>[COMPLETE]</w:t>
            </w:r>
          </w:p>
        </w:tc>
        <w:tc>
          <w:tcPr>
            <w:tcW w:type="dxa" w:w="2378"/>
            <w:vAlign w:val="center"/>
            <w:shd w:fill="FFF2CC"/>
          </w:tcPr>
          <w:p>
            <w:pPr>
              <w:spacing w:before="0" w:after="30" w:line="240" w:lineRule="auto"/>
            </w:pPr>
            <w:r>
              <w:rPr>
                <w:rFonts w:ascii="Arial" w:hAnsi="Arial"/>
                <w:b w:val="0"/>
                <w:color w:val="2D3741"/>
                <w:sz w:val="16"/>
              </w:rPr>
              <w:t>[DECISION / NAME]</w:t>
            </w:r>
          </w:p>
        </w:tc>
      </w:tr>
      <w:tr>
        <w:trPr>
          <w:cantSplit/>
        </w:trPr>
        <w:tc>
          <w:tcPr>
            <w:tcW w:type="dxa" w:w="1700"/>
            <w:vAlign w:val="center"/>
            <w:shd w:fill="FFF2CC"/>
          </w:tcPr>
          <w:p>
            <w:pPr>
              <w:spacing w:before="0" w:after="30" w:line="240" w:lineRule="auto"/>
            </w:pPr>
            <w:r>
              <w:rPr>
                <w:rFonts w:ascii="Arial" w:hAnsi="Arial"/>
                <w:b w:val="0"/>
                <w:color w:val="2D3741"/>
                <w:sz w:val="16"/>
              </w:rPr>
              <w:t>[DATE]</w:t>
            </w:r>
          </w:p>
        </w:tc>
        <w:tc>
          <w:tcPr>
            <w:tcW w:type="dxa" w:w="3100"/>
            <w:vAlign w:val="center"/>
            <w:shd w:fill="FFF2CC"/>
          </w:tcPr>
          <w:p>
            <w:pPr>
              <w:spacing w:before="0" w:after="30" w:line="240" w:lineRule="auto"/>
            </w:pPr>
            <w:r>
              <w:rPr>
                <w:rFonts w:ascii="Arial" w:hAnsi="Arial"/>
                <w:b w:val="0"/>
                <w:color w:val="2D3741"/>
                <w:sz w:val="16"/>
              </w:rPr>
              <w:t>[COMPLETE]</w:t>
            </w:r>
          </w:p>
        </w:tc>
        <w:tc>
          <w:tcPr>
            <w:tcW w:type="dxa" w:w="2700"/>
            <w:vAlign w:val="center"/>
            <w:shd w:fill="FFF2CC"/>
          </w:tcPr>
          <w:p>
            <w:pPr>
              <w:spacing w:before="0" w:after="30" w:line="240" w:lineRule="auto"/>
            </w:pPr>
            <w:r>
              <w:rPr>
                <w:rFonts w:ascii="Arial" w:hAnsi="Arial"/>
                <w:b w:val="0"/>
                <w:color w:val="2D3741"/>
                <w:sz w:val="16"/>
              </w:rPr>
              <w:t>[COMPLETE]</w:t>
            </w:r>
          </w:p>
        </w:tc>
        <w:tc>
          <w:tcPr>
            <w:tcW w:type="dxa" w:w="2378"/>
            <w:vAlign w:val="center"/>
            <w:shd w:fill="FFF2CC"/>
          </w:tcPr>
          <w:p>
            <w:pPr>
              <w:spacing w:before="0" w:after="30" w:line="240" w:lineRule="auto"/>
            </w:pPr>
            <w:r>
              <w:rPr>
                <w:rFonts w:ascii="Arial" w:hAnsi="Arial"/>
                <w:b w:val="0"/>
                <w:color w:val="2D3741"/>
                <w:sz w:val="16"/>
              </w:rPr>
              <w:t>[DECISION / NAME]</w:t>
            </w:r>
          </w:p>
        </w:tc>
      </w:tr>
    </w:tbl>
    <w:p>
      <w:pPr>
        <w:spacing w:after="20"/>
      </w:pPr>
    </w:p>
    <w:sectPr w:rsidR="00FC693F" w:rsidRPr="0006063C" w:rsidSect="00034616">
      <w:headerReference w:type="default" r:id="rId9"/>
      <w:footerReference w:type="default" r:id="rId10"/>
      <w:pgSz w:w="12240" w:h="15840"/>
      <w:pgMar w:top="1037" w:right="1181" w:bottom="979" w:left="1181" w:header="432" w:footer="432" w:gutter="0"/>
      <w:cols w:space="720"/>
      <w:docGrid w:linePitch="360"/>
    </w:sectPr>
    <w:p>
      <w:pPr>
        <w:pStyle w:val="Heading1"/>
        <w:widowControl/>
      </w:pPr>
      <w:r>
        <w:t>Requirements addressed by this deliverable</w:t>
      </w:r>
    </w:p>
    <w:p>
      <w:pPr>
        <w:widowControl/>
      </w:pPr>
      <w:r>
        <w:t>This schedule is generated from the suite’s controlling traceability dataset. Primary and supporting mappings must be reconciled whenever this document changes. 241 requirement records remain associated with D06, including 221 primary firm-control records, 19 authority-only/context records for which D06 is supporting, and one other supporting relationship.</w:t>
      </w:r>
    </w:p>
    <w:tbl>
      <w:tblPr>
        <w:tblStyle w:val="TableGrid"/>
        <w:tblW w:type="auto" w:w="0"/>
        <w:jc w:val="center"/>
        <w:tblLayout w:type="fixed"/>
        <w:tblLook w:firstColumn="1" w:firstRow="1" w:lastColumn="0" w:lastRow="0" w:noHBand="0" w:noVBand="1" w:val="04A0"/>
      </w:tblPr>
      <w:tblGrid>
        <w:gridCol w:w="1512"/>
        <w:gridCol w:w="1800"/>
        <w:gridCol w:w="1584"/>
        <w:gridCol w:w="2232"/>
        <w:gridCol w:w="2750"/>
      </w:tblGrid>
      <w:tr>
        <w:trPr>
          <w:tblHeader w:val="true"/>
          <w:tblHeader w:val="true"/>
        </w:trPr>
        <w:tc>
          <w:tcPr>
            <w:tcW w:type="dxa" w:w="1512"/>
            <w:shd w:fill="17365D"/>
            <w:tcMar>
              <w:top w:w="80" w:type="dxa"/>
              <w:start w:w="110" w:type="dxa"/>
              <w:bottom w:w="80" w:type="dxa"/>
              <w:end w:w="110" w:type="dxa"/>
            </w:tcMar>
            <w:vAlign w:val="center"/>
          </w:tcPr>
          <w:p>
            <w:pPr>
              <w:widowControl/>
            </w:pPr>
            <w:r>
              <w:rPr>
                <w:rFonts w:ascii="Calibri" w:hAnsi="Calibri"/>
                <w:b/>
                <w:color w:val="FFFFFF"/>
                <w:sz w:val="13"/>
              </w:rPr>
              <w:t>ID</w:t>
            </w:r>
          </w:p>
        </w:tc>
        <w:tc>
          <w:tcPr>
            <w:tcW w:type="dxa" w:w="1800"/>
            <w:shd w:fill="17365D"/>
            <w:tcMar>
              <w:top w:w="80" w:type="dxa"/>
              <w:start w:w="110" w:type="dxa"/>
              <w:bottom w:w="80" w:type="dxa"/>
              <w:end w:w="110" w:type="dxa"/>
            </w:tcMar>
            <w:vAlign w:val="center"/>
          </w:tcPr>
          <w:p>
            <w:pPr>
              <w:widowControl/>
            </w:pPr>
            <w:r>
              <w:rPr>
                <w:rFonts w:ascii="Calibri" w:hAnsi="Calibri"/>
                <w:b/>
                <w:color w:val="FFFFFF"/>
                <w:sz w:val="13"/>
              </w:rPr>
              <w:t>Reference</w:t>
            </w:r>
          </w:p>
        </w:tc>
        <w:tc>
          <w:tcPr>
            <w:tcW w:type="dxa" w:w="1584"/>
            <w:shd w:fill="17365D"/>
            <w:tcMar>
              <w:top w:w="80" w:type="dxa"/>
              <w:start w:w="110" w:type="dxa"/>
              <w:bottom w:w="80" w:type="dxa"/>
              <w:end w:w="110" w:type="dxa"/>
            </w:tcMar>
            <w:vAlign w:val="center"/>
          </w:tcPr>
          <w:p>
            <w:pPr>
              <w:widowControl/>
            </w:pPr>
            <w:r>
              <w:rPr>
                <w:rFonts w:ascii="Calibri" w:hAnsi="Calibri"/>
                <w:b/>
                <w:color w:val="FFFFFF"/>
                <w:sz w:val="13"/>
              </w:rPr>
              <w:t>Applicability</w:t>
            </w:r>
          </w:p>
        </w:tc>
        <w:tc>
          <w:tcPr>
            <w:tcW w:type="dxa" w:w="2232"/>
            <w:shd w:fill="17365D"/>
            <w:tcMar>
              <w:top w:w="80" w:type="dxa"/>
              <w:start w:w="110" w:type="dxa"/>
              <w:bottom w:w="80" w:type="dxa"/>
              <w:end w:w="110" w:type="dxa"/>
            </w:tcMar>
            <w:vAlign w:val="center"/>
          </w:tcPr>
          <w:p>
            <w:pPr>
              <w:widowControl/>
            </w:pPr>
            <w:r>
              <w:rPr>
                <w:rFonts w:ascii="Calibri" w:hAnsi="Calibri"/>
                <w:b/>
                <w:color w:val="FFFFFF"/>
                <w:sz w:val="13"/>
              </w:rPr>
              <w:t>Location / role</w:t>
            </w:r>
          </w:p>
        </w:tc>
        <w:tc>
          <w:tcPr>
            <w:tcW w:type="dxa" w:w="2750"/>
            <w:shd w:fill="17365D"/>
            <w:tcMar>
              <w:top w:w="80" w:type="dxa"/>
              <w:start w:w="110" w:type="dxa"/>
              <w:bottom w:w="80" w:type="dxa"/>
              <w:end w:w="110" w:type="dxa"/>
            </w:tcMar>
            <w:vAlign w:val="center"/>
          </w:tcPr>
          <w:p>
            <w:pPr>
              <w:widowControl/>
            </w:pPr>
            <w:r>
              <w:rPr>
                <w:rFonts w:ascii="Calibri" w:hAnsi="Calibri"/>
                <w:b/>
                <w:color w:val="FFFFFF"/>
                <w:sz w:val="13"/>
              </w:rPr>
              <w:t>Requirement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IS-CBI-INC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CBI_GUIDE Major incident reporting</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8 — Central Bank reporting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Major ICT-related incidents must be reported through the Financial Supervisory Authority electronic portal using the current templates; significant cyber threats may be notified voluntarily.</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DORA-A17-P1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17(1)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4–5 — Incident process, roles and escalation</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shall define, establish and implement an ICT-related incident management process to detect, manage and notify ICT-related incidents.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DORA-A17-P2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17(2)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4–5 — Incident process, roles and escalation</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shall record all ICT-related incidents and significant cyber threats. Financial entities shall establish appropriate procedures and processes to ensure a consistent and integrated monitoring,</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DORA-A17-P3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17(3)</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4–5 — Incident process, roles and escalation</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ICT-related incident management process referred to in paragraph 1 shall:</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DORA-A17-P3-A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17(3)(a)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4–5 — Incident process, roles and escalation</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put in place early warning indicators;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DORA-A17-P3-B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17(3)(b)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4–5 — Incident process, roles and escalation</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establish procedures to identify, track, log, categorise and classify ICT-related incidents according to their priority and severity and according to the criticality of the services impacted, in accordance with</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DORA-A17-P3-C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17(3)(c)</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4–5 — Incident process, roles and escalation</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assign roles and responsibilities that need to be activated for different ICT-related incident types and scenarios;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DORA-A17-P3-D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17(3)(d)</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4–5 — Incident process, roles and escalation</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set out plans for communication to staff, external stakeholders and media in accordance with Article 14 and for notification to clients, for internal escalation procedures, including ICT-related customer compla</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DORA-A17-P3-E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17(3)(e)</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4–5 — Incident process, roles and escalation</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ensure that at least major ICT-related incidents are reported to relevant senior management and inform the management body of at least major ICT-related incidents, explaining the impact, response and additional</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DORA-A17-P3-F</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17(3)(f)</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4–5 — Incident process, roles and escalation</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establish ICT-related incident response procedures to mitigate impacts and ensure that services become operational and secure in a timely manner.</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DORA-A18-P1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18(1)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shall classify ICT-related incidents and shall determine their impact based on the following criteria:</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DORA-A18-P1-A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18(1)(a)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number and/or relevance of clients or financial counterparts affected and, where applicable, the amount or number of transactions affected by the ICT-related incident, and whether the ICT-related incident h</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DORA-A18-P1-B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18(1)(b)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duration of the ICT-related incident, including the service downtime;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DORA-A18-P1-C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18(1)(c)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geographical spread with regard to the areas affected by the ICT-related incident, particularly if it affects more than two Member States;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DORA-A18-P1-D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18(1)(d)</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data losses that the ICT-related incident entails, in relation to availability, authenticity, integrity or confidentiality of data;</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DORA-A18-P1-E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18(1)(e)</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criticality of the services affected, including the financial entity’s transactions and operations;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DORA-A18-P1-F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18(1)(f)</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economic impact, in particular direct and indirect costs and losses, of the ICT-related incident in both absolute and relative terms.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DORA-A18-P2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18(2)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Financial entities shall classify cyber threats as significant based on the criticality of the services at risk, including the financial entity’s transactions and operations, number and/or relevance of clients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DORA-A18-P3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18(3)</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ESAs shall, through the Joint Committee and in consultation with the ECB and ENISA, develop common draft regulatory technical standards further specifying the following:</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DORA-A18-P3-A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18(3)(a)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the criteria set out in paragraph 1, including materiality thresholds for determining major ICT-related incidents or, as applicable, major operational or security payment-related incidents, that are subject to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DORA-A18-P3-B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18(3)(b)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criteria to be applied by competent authorities for the purpose of assessing the relevance of major ICT-related incidents or, as applicable, major operational or security payment-related incidents, to relev</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DORA-A18-P3-C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18(3)(c)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criteria set out in paragraph 2 of this Article, including high materiality thresholds for determining significant cyber threats.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DORA-A18-P4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18(4)</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When developing the common draft regulatory technical standards referred to in paragraph 3 of this Article, the ESAs shall take into account the criteria set out in Article 4(2), as well as international standa</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DORA-A18-P4-14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18(4)</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ESAs shall submit those common draft regulatory technical standards to the Commission by 17 January 2024.</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DORA-A18-P4-15</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18(4)</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Power is delegated to the Commission to supplement this Regulation by adopting the regulatory technical standards referred to in paragraph 3 in accordance with Articles 10 to 14 of Regulations (EU) No 1093/2010</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DORA-A19-P1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19(1)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7–9 — Regulatory and client reporting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shall report major ICT-related incidents to the relevant competent authority as referred to in Article 46 in accordance with paragraph 4 of this Article.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DORA-A19-P1-2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19(1)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7–9 — Regulatory and client reporting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Where a financial entity is subject to supervision by more than one national competent authority referred to in Article 46, Member States shall designate a single competent authority as the relevant competent a</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DORA-A19-P1-3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19(1)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7–9 — Regulatory and client reporting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Credit institutions classified as significant, in accordance with Article 6(4) of Regulation (EU) No 1024/2013, shall report major ICT-related incidents to the relevant national competent authority designated i</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DORA-A19-P1-4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19(1)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7–9 — Regulatory and client reporting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For the purpose of the first subparagraph, financial entities shall produce, after collecting and analysing all relevant information, the initial notification and reports referred to in paragraph 4 of this Arti</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DORA-A19-P1-5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19(1)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7–9 — Regulatory and client reporting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initial notification and reports referred to in paragraph 4 shall include all information necessary for the competent authority to determine the significance of the major ICT-related incident and assess pos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DORA-A19-P1-6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19(1)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7–9 — Regulatory and client reporting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Without prejudice to the reporting pursuant to the first subparagraph by the financial entity to the relevant competent authority, Member States may additionally determine that some or all financial entities sh</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DORA-A19-P2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19(2)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7–9 — Regulatory and client reporting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may, on a voluntary basis, notify significant cyber threats to the relevant competent authority when they deem the threat to be of relevance to the financial system, service users or clients.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DORA-A19-P2-8</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19(2)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7–9 — Regulatory and client reporting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Credit institutions classified as significant, in accordance with Article 6(4) of Regulation (EU) No 1024/2013, may, on a voluntary basis, notify significant cyber threats to relevant national competent authori</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DORA-A19-P2-9</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19(2)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7–9 — Regulatory and client reporting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Member States may determine that those financial entities that on a voluntary basis notify in accordance with the first subparagraph may also transmit that notification to the CSIRTs designated or established i</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DORA-A19-P3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19(3)</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7–9 — Regulatory and client reporting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Where a major ICT-related incident occurs and has an impact on the financial interests of clients, financial entities shall, without undue delay as soon as they become aware of it, inform their clients about th</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DORA-A19-P3-11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19(3)</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7–9 — Regulatory and client reporting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In the case of a significant cyber threat, financial entities shall, where applicable, inform their clients that are potentially affected of any appropriate protection measures which the latter may consider tak</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DORA-A19-P4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19(4)</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7–9 — Regulatory and client reporting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shall, within the time limits to be laid down in accordance with Article 20, first paragraph, point (a), point (ii), submit the following to the relevant competent authority:</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DORA-A19-P4-A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19(4)(a)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7–9 — Regulatory and client reporting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an initial notification;</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DORA-A19-P4-B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19(4)(b)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7–9 — Regulatory and client reporting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an intermediate report after the initial notification referred to in point (a), as soon as the status of the original incident has changed significantly or the handling of the major ICT-related incident has cha</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DORA-A19-P4-C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19(4)(c)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7–9 — Regulatory and client reporting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 final report, when the root cause analysis has been completed, regardless of whether mitigation measures have already been implemented, and when the actual impact figures are available to replace estimates.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DORA-A19-P5</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19(5)</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Optional</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7–9 — Regulatory and client reporting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may outsource, in accordance with Union and national sectoral law, the reporting obligations under this Article to a third-party service provider. In case of such outsourcing, the financial 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DORA-A19-P6</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19(6)</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7–9 — Regulatory and client reporting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Upon receipt of the initial notification and of each report referred to in paragraph 4, the competent authority shall, in a timely manner, provide details of the major ICT-related incident to the following reci</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DORA-A19-P6-A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19(6)(a)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7–9 — Regulatory and client reporting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EBA, ESMA or EIOPA;</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DORA-A19-P6-B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19(6)(b)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7–9 — Regulatory and client reporting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ECB, in the case of financial entities referred to in Article 2(1), points (a), (b) and (d);</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DORA-A19-P6-C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19(6)(c)</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7–9 — Regulatory and client reporting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competent authorities, single points of contact or CSIRTs designated or established in accordance with Directive (EU) 2022/2555;</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DORA-A19-P6-D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19(6)(d)</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7–9 — Regulatory and client reporting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the resolution authorities, as referred to in Article 3 of Directive 2014/59/EU, and the Single Resolution Board (SRB) with respect to entities referred to in Article 7(2) of Regulation (EU) No 806/2014 of the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DORA-A19-P6-E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19(6)(e)</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7–9 — Regulatory and client reporting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other relevant public authorities under national law.</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DORA-A19-P7</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19(7)</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7–9 — Regulatory and client reporting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Following receipt of information in accordance with paragraph 6, EBA, ESMA or EIOPA and the ECB, in consultation with ENISA and in cooperation with the relevant competent authority, shall assess whether the maj</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DORA-A19-P8</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19(8)</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7–9 — Regulatory and client reporting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 xml:space="preserve">The notification to be done by ESMA pursuant to paragraph 7 of this Article shall be without prejudice to the responsibility of the competent authority to urgently transmit the details of the major ICT-related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DORA-A20-Part_20</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20(art_20)</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No direct entity obligation</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Annex D — Supporting regulatory context; primary location: R00 Appendix A — Authority-only and regulatory-context schedule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ESAs, through the Joint Committee, and in consultation with ENISA and the ECB, shall develop:</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DORA-A20-Part_20-2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20(art_20)</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No direct entity obligation</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Annex D — Supporting regulatory context; primary location: R00 Appendix A — Authority-only and regulatory-context schedule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ESAs shall submit the common draft regulatory technical standards referred to in the first paragraph, point (a), and the common draft implementing technical standards referred to in the first paragraph, poi</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DORA-A20-Part_20-3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20(art_20)</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No direct entity obligation</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Annex D — Supporting regulatory context; primary location: R00 Appendix A — Authority-only and regulatory-context schedule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Power is delegated to the Commission to supplement this Regulation by adopting the common regulatory technical standards referred to in the first paragraph, point (a), in accordance with Articles 10 to 14 of Re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DORA-A20-Part_20-4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20(art_20)</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No direct entity obligation</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Annex D — Supporting regulatory context; primary location: R00 Appendix A — Authority-only and regulatory-context schedule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Power is conferred on the Commission to adopt the common implementing technical standards referred to in the first paragraph, point (b), in accordance with Article 15 of Regulations (EU) No 1093/2010, (EU) No 1</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DORA-A20-Part_20-A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20(art_20)(a)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No direct entity obligation</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Annex D — Supporting regulatory context; primary location: R00 Appendix A — Authority-only and regulatory-context schedule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common draft regulatory technical standards in order to: (i) establish the content of the reports for major ICT-related incidents in order to reflect the criteria laid down in Article 18(1) and incorporate furt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DORA-A20-Part_20-B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20(art_20)(b)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No direct entity obligation</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Annex D — Supporting regulatory context; primary location: R00 Appendix A — Authority-only and regulatory-context schedule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common draft implementing technical standards in order to establish the standard forms, templates and procedures for financial entities to report a major ICT-related incident and to notify a significant cyber 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DORA-A21-P1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21(1)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No direct entity obligation</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Annex D — Supporting regulatory context; primary location: R00 Appendix A — Authority-only and regulatory-context schedule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ESAs, through the Joint Committee, and in consultation with the ECB and ENISA, shall prepare a joint report assessing the feasibility of further centralisation of incident reporting through the establishmen</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DORA-A21-P2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21(2)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No direct entity obligation</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Annex D — Supporting regulatory context; primary location: R00 Appendix A — Authority-only and regulatory-context schedule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joint report referred to in paragraph 1 shall comprise at least the following elements: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DORA-A21-P2-A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21(2)(a)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No direct entity obligation</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Annex D — Supporting regulatory context; primary location: R00 Appendix A — Authority-only and regulatory-context schedule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prerequisites for the establishment of a single EU Hub;</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DORA-A21-P2-B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21(2)(b)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No direct entity obligation</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Annex D — Supporting regulatory context; primary location: R00 Appendix A — Authority-only and regulatory-context schedule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benefits, limitations and risks, including risks associated with the high concentration of sensitive information;</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DORA-A21-P2-C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21(2)(c)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No direct entity obligation</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Annex D — Supporting regulatory context; primary location: R00 Appendix A — Authority-only and regulatory-context schedule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necessary capability to ensure interoperability with regard to other relevant reporting schemes;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DORA-A21-P2-D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21(2)(d)</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No direct entity obligation</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Annex D — Supporting regulatory context; primary location: R00 Appendix A — Authority-only and regulatory-context schedule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elements of operational management;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DORA-A21-P2-E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21(2)(e)</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No direct entity obligation</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Annex D — Supporting regulatory context; primary location: R00 Appendix A — Authority-only and regulatory-context schedule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conditions of membership;</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DORA-A21-P2-F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21(2)(f)</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No direct entity obligation</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Annex D — Supporting regulatory context; primary location: R00 Appendix A — Authority-only and regulatory-context schedule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technical arrangements for financial entities and national competent authorities to access the single EU Hub;</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DORA-A21-P2-G</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21(2)(g)</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No direct entity obligation</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Annex D — Supporting regulatory context; primary location: R00 Appendix A — Authority-only and regulatory-context schedule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 preliminary assessment of financial costs incurred by setting-up the operational platform supporting the single EU Hub, including the requisite expertise.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DORA-A21-P3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21(3)</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No direct entity obligation</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Annex D — Supporting regulatory context; primary location: R00 Appendix A — Authority-only and regulatory-context schedule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ESAs shall submit the report referred to in paragraph 1 to the European Parliament, to the Council and to the Commission by 17 January 2025.</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DORA-A22-P1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22(1)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No direct entity obligation</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Annex D — Supporting regulatory context; primary location: R00 Appendix A — Authority-only and regulatory-context schedule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Without prejudice to the technical input, advice or remedies and subsequent follow-up which may be provided, where applicable, in accordance with national law, by the CSIRTs under Directive (EU) 2022/2555, the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DORA-A22-P2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22(2)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No direct entity obligation</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Annex D — Supporting regulatory context; primary location: R00 Appendix A — Authority-only and regulatory-context schedule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ESAs shall, through the Joint Committee, on an anonymised and aggregated basis, report yearly on major ICT-related incidents, the details of which shall be provided by competent authorities in accordance wi</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DORA-A22-P2-3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22(2)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No direct entity obligation</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Annex D — Supporting regulatory context; primary location: R00 Appendix A — Authority-only and regulatory-context schedule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ESAs shall issue warnings and produce high-level statistics to support ICT threat and vulnerability assessments.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DORA-A23-Part_23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23(art_23)</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Annex C — Conditional Payment-Service Incident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requirements laid down in this Chapter shall also apply to operational or security payment-related incidents and to major operational or security payment-related incidents, where they concern credit institu</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DORA-A45-P1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45(1)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Optional</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Annex E — Optional Information-Sharing Decision Record</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may exchange amongst themselves cyber threat information and intelligence, including indicators of compromise, tactics, techniques, and procedures, cyber security alerts and configuration too</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DORA-A45-P1-A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45(1)(a)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Optional</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Annex E — Optional Information-Sharing Decision Record</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aims to enhance the digital operational resilience of financial entities, in particular through raising awareness in relation to cyber threats, limiting or impeding the cyber threats’ ability to spread, support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DORA-A45-P1-B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45(1)(b)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Optional</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Annex E — Optional Information-Sharing Decision Record</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takes places within trusted communities of financial entities;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DORA-A45-P1-C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45(1)(c)</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Optional</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Annex E — Optional Information-Sharing Decision Record</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is implemented through information-sharing arrangements that protect the potentially sensitive nature of the information shared, and that are governed by rules of conduct in full respect of business confidentia</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DORA-A45-P2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45(2)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Optional</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Annex E — Optional Information-Sharing Decision Record</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For the purpose of paragraph 1, point (c), the information-sharing arrangements shall define the conditions for participation and, where appropriate, shall set out the details on the involvement of public autho</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DORA-A45-P3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45(3)</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Optional</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Annex E — Optional Information-Sharing Decision Record</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shall notify competent authorities of their participation in the information-sharing arrangements referred to in paragraph 1, upon validation of their membership, or, as applicable, of the ce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IS-ACT78-S3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IS_ACT78 Section 3</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Annex D — Supporting regulatory context; primary location: R00 Appendix A — Authority-only and regulatory-context schedule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Central Bank of Iceland is the competent authority and the Financial Supervisory Authority supervises compliance.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ITS302-A01-P1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ITS302 Article 1(1)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shall use the template laid down in Annex I to submit the initial notification, the intermediate report, and the final report referred to in Article 19(4) of Regulation (EU) 2022/2554 as foll</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ITS302-A01-P1-A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ITS302 Article 1(1)(a)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that submit an initial notification shall complete the data fields of the template which correspond to the information to be provided in accordance with Article 2 of Commission Delegated Regu</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ITS302-A01-P1-B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ITS302 Article 1(1)(b)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 xml:space="preserve">financial entities that submit an intermediate report shall complete the data fields of the template which correspond to the information to be provided in accordance with Article 3 of Delegated Regulation (EU)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ITS302-A01-P1-C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ITS302 Article 1(1)(c)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that submit a final report shall complete the data fields of the template which correspond to the information to be provided in accordance with Article 4 of Delegated Regulation (EU) 2025/301</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ITS302-A01-P2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ITS302 Article 1(2)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shall ensure that the information contained in the initial notification, and in the intermediate and final report, is complete and accurate.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ITS302-A01-P3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ITS302 Article 1(3)</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shall provide estimated values based on other available data and information, to the extent possible, where accurate data are not available at the time of reporting for the initial notificati</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ITS302-A01-P4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ITS302 Article 1(4)</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When submitting an intermediate or final report, financial entities shall use the template laid down in Annex I to submit all required information and update, where applicable, the information that was previous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ITS302-A01-P5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ITS302 Article 1(5)</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shall follow the data glossary and instructions set out in Annex II when completing the template laid down in Annex I.</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ITS302-A02-Part_2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ITS302 Article 2(art_2)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 xml:space="preserve">Financial entities may combine the submission of the initial notification, the intermediate report, and the final report to provide two or all of those at the same time, where regular activities have recovered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ITS302-A03-Part_3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ITS302 Article 3(art_3)</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that provide information on non-major recurring ICT-related incidents that cumulatively meet the conditions for one major ICT-related incident as set out in Article 8(2) of Delegated Regulati</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ITS302-A04-P1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ITS302 Article 4(1)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shall use secure electronic channels as made available by their competent authority to submit the initial notification and the intermediate and final reports.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ITS302-A04-P2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ITS302 Article 4(2)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that are unable to use the secure electronic channels as made available by their competent authority shall inform their competent authority about a major ICT-related incident through other se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ITS302-A05-Part_5</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ITS302 Article 5(art_5)</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Where after further assessment, the financial entity concludes that the ICT-related incident previously reported as major, at no time fulfilled the classification criteria and thresholds set out in Article 8 of</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ITS302-A06-P1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ITS302 Article 6(1)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that have outsourced the obligation to report major ICT-related incidents in accordance with Article 19(5) of Regulation (EU) 2022/2554 shall inform their competent authority of that outsourc</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ITS302-A06-P2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ITS302 Article 6(2)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shall provide the competent authority with the name, contact details, and identification code of the third-party that will submit the major ICT-related incident notifications or reports for 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ITS302-A06-P3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ITS302 Article 6(3)</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shall inform their competent authority as soon as they no longer outsource their reporting obligations as referred to in Article 19(5) of Regulation (EU) 2022/2554.</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ITS302-A07-P1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ITS302 Article 7(1)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A third-party service provider to whom reporting obligations have been outsourced as referred to in Article 19(5) of Regulation (EU) 2022/2554 may use the template set out in Annex I to this Regulation to provi</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ITS302-A07-P1-A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ITS302 Article 7(1)(a)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major ICT-related incident to be reported originates from or is being caused by a third-party ICT service provider;</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ITS302-A07-P1-B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ITS302 Article 7(1)(b)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that third-party service provider provides the relevant ICT service to more than one financial entity, or to a group;</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ITS302-A07-P1-C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ITS302 Article 7(1)(c)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ICT-related incident is classified as major by each financial entity covered in the aggregated notification or report;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ITS302-A07-P1-D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ITS302 Article 7(1)(d)</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major ICT-related incident affects financial entities within a single Member State and the aggregated report relates to financial entities which are supervised by the same competent authority;</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ITS302-A07-P1-E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ITS302 Article 7(1)(e)</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competent authorities have explicitly permitted this type of financial entities to aggregate their reporting.</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ITS302-A07-P2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ITS302 Article 7(2)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Paragraph 1 shall not apply to credit institutions that are considered to be of significant relevance as referred to in Article 2 point (16) of Regulation (EU) No 468/2014 of the European Central Bank ( 8 ) , o</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ITS302-A07-P3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ITS302 Article 7(3)</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Where competent authorities require information on the individual impact of the major ICT-related incident on a single financial entity, upon request of the competent authority, the financial entity shall submi</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ITS302-A08-P1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ITS302 Article 8(1)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Optional</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that notify significant cyber threats to competent authorities in accordance with Article 19(2) of Regulation (EU) 2022/2554 shall use the template laid down in Annex III to this Regulation a</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ITS302-A08-P2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ITS302 Article 8(2)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Optional</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shall ensure that the information contained in the notification of significant cyber threats is complete and accurate.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RTS1772-A01-P1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1(1)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 xml:space="preserve">The number of clients affected by the incident as referred to in Article 18(1), point (a), of Regulation (EU) 2022/2554, shall reflect the number of all affected clients, whether natural or legal persons, that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RTS1772-A01-P2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1(2)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number of financial counterparts affected by the incident as referred to in Article 18(1), point (a), of Regulation (EU) 2022/2554 shall reflect the number of all affected financial counterparts that have c</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RTS1772-A01-P3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1(3)</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In relation to the relevance of clients and financial counterparts affected by the incident as referred to in Article 18(1), point (a), of Regulation (EU) 2022/2554, the financial entity shall take into account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RTS1772-A01-P4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1(4)</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In relation to the amount or number of transactions affected by the incident as referred to in Article 18(1), point (a), of Regulation (EU) 2022/2554, the financial entity shall take into account all affected 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RTS1772-A01-P5</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1(5)</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Where the actual number of clients or financial counterparts affected or the actual number or amount of transactions affected cannot be determined, the financial entity shall estimate those numbers or amounts b</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RTS1772-A10-Part_10</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10(art_10)</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For the purposes of Article 18(2) of Regulation (EU) 2022/2554, a cyber threat shall be considered significant where all of the following conditions are fulfilled:</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RTS1772-A10-Part_10-2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10(art_10)</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Where, depending on the type of cyber threat and available information, the financial entity concludes that the materiality thresholds set out in Article 9(2), (3), (5) and (6) could be met, those thresholds ma</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RTS1772-A10-Part_10-A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10(art_10)(a)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cyber threat, if materialised, could affect or could have affected critical or important functions of the financial entity, or could affect other financial entities, third-party providers, clients or financ</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RTS1772-A10-Part_10-B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10(art_10)(b)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 xml:space="preserve">the cyber threat has a high probability of materialisation at the financial entity or at other financial entities, taking into account at least the following elements: (i) applicable risks related to the cyber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RTS1772-A10-Part_10-C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10(art_10)(c)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cyber threat could, if materialised, meet any of the following: (i) the criterion regarding criticality of services set out in Article 18(1), point (e), of Regulation (EU) 2022/2554, as specified in Article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RTS1772-A11-Part_11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11(art_11)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 xml:space="preserve">The assessment of whether the major incident is relevant for competent authorities in other Member States as referred to in Article 19(7) of Regulation (EU) 2022/2554 shall be based on whether the incident has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RTS1772-A11-Part_11-A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11(art_11)(a)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clients or financial counterparts;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RTS1772-A11-Part_11-B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11(art_11)(b)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a branch of the financial entity or another financial entity within the group;</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RTS1772-A11-Part_11-C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11(art_11)(c)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 financial market infrastructure or a third-party provider which may affect financial entities to which they provide services.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RTS1772-A12-Part_12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12(art_12)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details of major incidents to be submitted by competent authorities to other competent authorities in accordance with Article 19(6) of Regulation (EU) 2022/2554 and the notifications to be submitted by EBA,</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RTS1772-A02-P1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2(1)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For the purposes of determining the reputational impact of the incident as referred to in Article 18(1), point (a), of Regulation (EU) 2022/2554, financial entities shall consider that a reputational impact has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RTS1772-A02-P1-A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2(1)(a)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incident has been reflected in the media;</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RTS1772-A02-P1-B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2(1)(b)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incident has resulted in repetitive complaints from different clients or financial counterparts on client-facing services or critical business relationships;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RTS1772-A02-P1-C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2(1)(c)</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financial entity will not be able to or is likely not to be able to meet regulatory requirements as a result of the incident;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RTS1772-A02-P1-D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2(1)(d)</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financial entity will or is likely to lose clients or financial counterparts with a material impact on its business as a result of the incident.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RTS1772-A02-P2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2(2)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 xml:space="preserve">When assessing the reputational impact of the incident, financial entities shall take into account the level of visibility that the incident has gained or is likely to gain in relation to each criterion listed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RTS1772-A03-P1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3(1)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shall measure the duration of an incident as referred to in Article 18(1), point (b), of Regulation (EU) 2022/2554, from the moment the incident occurs until the moment when it is resolved.</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RTS1772-A03-P1-2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3(1)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Where financial entities are unable to determine the moment when the incident occurred, they shall measure the duration of the incident from the moment it was detected. Where financial entities become aware tha</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RTS1772-A03-P1-3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3(1)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Where financial entities do not yet know when the incident will be resolved or are unable to verify records in logs or other data sources, they shall apply estimates.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RTS1772-A03-P2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3(2)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shall measure the service downtime of an incident as referred to in Article 18(1), point (b), of Regulation (EU) 2022/2554, from the moment the service is fully or partially unavailable to cl</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RTS1772-A03-P2-5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3(2)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Where financial entities are unable to determine the moment when the service downtime started, they shall measure the service downtime from the moment it was detected.</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RTS1772-A04-Part_4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4(art_4)</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For the purpose of determining the geographical spread with regard to the areas affected by the incident as referred to in Article 18(1), point (c), of Regulation (EU) 2022/2554, financial entities shall assess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RTS1772-A04-Part_4-A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4(art_4)(a)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clients and financial counterparts in other Member States;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RTS1772-A04-Part_4-B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4(art_4)(b)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branches or other financial entities within the group carrying out activities in other Member States;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RTS1772-A04-Part_4-C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4(art_4)(c)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market infrastructures or third-party providers, which may affect financial entities in other Member States to which they provide services, to the extent such information is available.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RTS1772-A05-Part_5</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5(art_5)</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For the purpose of determining the data losses that the incident entails as referred to in Article 18(1), point (d), of Regulation (EU) 2022/2554, financial entities shall take into account the following:</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RTS1772-A05-Part_5-A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5(art_5)(a)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in relation to the availability of data, whether the incident has rendered the data on demand by the financial entity, its clients or its counterparts temporarily or permanently inaccessible or unusable;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RTS1772-A05-Part_5-B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5(art_5)(b)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in relation to the authenticity of data, whether the incident has compromised the trustworthiness of the source of data;</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RTS1772-A05-Part_5-C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5(art_5)(c)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in relation to the integrity of data, whether the incident has resulted in non-authorised modification of data that has rendered it inaccurate or incomplete;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RTS1772-A05-Part_5-D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5(art_5)(d)</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in relation to the confidentiality of data, whether the incident has resulted in data having been accessed by or disclosed to an unauthorised party or system.</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RTS1772-A06-Part_6</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6(art_6)</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For the purpose of determining the criticality of the services affected as referred to in Article 18(1), point (e), of Regulation (EU) 2022/2554, financial entities shall assess whether the incident: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RTS1772-A06-Part_6-A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6(art_6)(a)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affects or has affected ICT services or network and information systems that support critical or important functions of the financial entity;</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RTS1772-A06-Part_6-B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6(art_6)(b)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affects or has affected financial services provided by the financial entity that require authorisation, registration or that are supervised by competent authorities;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RTS1772-A06-Part_6-C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6(art_6)(c)</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constitutes or has constituted a successful, malicious and unauthorised access to the network and information systems of the financial entity.</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RTS1772-A07-P1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7(1)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For the purpose of determining the economic impact of the incident as referred to in Article 18(1), point (f), of Regulation (EU) 2022/2554, financial entities shall, without accounting for financial recoveries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RTS1772-A07-P1-A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7(1)(a)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expropriated funds or financial assets for which they are liable, including assets lost to theft;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RTS1772-A07-P1-B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7(1)(b)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costs for replacement or relocation of software, hardware or infrastructure;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RTS1772-A07-P1-C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7(1)(c)</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staff costs, including costs associated with replacement or relocation of staff, recruitment of extra staff, remuneration of overtime and recovery of lost or impaired skills;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RTS1772-A07-P1-D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7(1)(d)</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fees due to non-compliance with contractual obligations;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RTS1772-A07-P1-E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7(1)(e)</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costs for redress and compensation to customers;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RTS1772-A07-P1-F</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7(1)(f)</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losses due to forgone revenues;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RTS1772-A07-P1-G</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7(1)(g)</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costs associated with internal and external communication;</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RTS1772-A07-P1-H</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7(1)(h)</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advisory costs, including costs associated with legal counselling, forensic services and remediation services.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RTS1772-A07-P2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7(2)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Costs and losses referred to in paragraph 1 shall not include costs that are necessary for the day-to-day operation of the business, in particular the following:</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RTS1772-A07-P2-A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7(2)(a)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costs for general maintenance of infrastructure, equipment, hardware and software, and costs for keeping skills of staff up to date;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RTS1772-A07-P2-B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7(2)(b)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internal or external costs to enhance the business after the incident, including upgrades, improvements and risk assessment initiatives;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RTS1772-A07-P2-C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7(2)(c)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insurance premiums.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RTS1772-A07-P3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7(3)</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shall calculate the amounts of costs and losses based on data available at the time of reporting. Where the actual amounts of costs and losses cannot be determined, financial entities shall 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RTS1772-A07-P4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7(4)</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When assessing the economic impact of the incident, financial entities shall sum up the costs and losses referred to in paragraph 1.</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RTS1772-A08-P1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8(1)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An incident shall be considered a major incident for the purposes of Article 19(1) of Regulation (EU) 2022/2554 where it has affected critical services as referred to in Article 6 and where either of the follow</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RTS1772-A08-P1-A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8(1)(a)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materiality threshold referred to in Article 9(5), point (b), is met;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RTS1772-A08-P1-B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8(1)(b)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two or more of the other materiality thresholds referred to in Articles 9(1) to (6) are met.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RTS1772-A08-P2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8(2)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Recurring incidents that individually are not considered a major incident in accordance with paragraph 1 shall be considered as one major incident where they meet all of the following conditions: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RTS1772-A08-P2-5</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8(2)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shall assess the existence of recurring incidents on a monthly basis.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RTS1772-A08-P2-6</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8(2)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This paragraph does not apply to microenterprises and to financial entities listed in Article 16(1) of Regulation (EU) 2022/2554.</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RTS1772-A08-P2-A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8(2)(a)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they have occurred at least twice within 6 months;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RTS1772-A08-P2-B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8(2)(b)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they have the same apparent root cause as referred to in Article 20, first subparagraph, point (b) of Regulation (EU) 2022/2554;</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RTS1772-A08-P2-C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8(2)(c)</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they collectively fulfil the criteria for being considered a major incident set out in paragraph 1.</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RTS1772-A09-P1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9(1)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materiality threshold for the criterion ‘clients, financial counterparts and transactions’ is met where any of the following conditions are fulfilled:</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RTS1772-A09-P1-2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9(1)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Where the actual number of clients or financial counterparts affected or the actual number or amount of transactions affected cannot be determined, the financial entity shall estimate those numbers or amounts b</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RTS1772-A09-P1-A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9(1)(a)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number of affected clients is higher than 10 % of all clients using the affected service;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RTS1772-A09-P1-B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9(1)(b)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number of affected clients using the affected service is higher than 100 000;</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RTS1772-A09-P1-C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9(1)(c)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number of affected financial counterparts is higher than 30 % of all financial counterparts carrying out activities related to the provision of the affected service;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RTS1772-A09-P1-D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9(1)(d)</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number of affected transactions is higher than 10 % of the daily average number of transactions carried out by the financial entity related to the affected service;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RTS1772-A09-P1-E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9(1)(e)</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amount of affected transactions is higher than 10 % of the daily average value of transactions carried out by the financial entity related to the affected service;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RTS1772-A09-P1-F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9(1)(f)</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clients or financial counterparts which have been identified as relevant in accordance with Article 1(3) have been affected.</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RTS1772-A09-P2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9(2)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materiality threshold for the criterion ‘reputational impact’ is met where any of the conditions set out in Article 2, points (a) to (d), are fulfilled.</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RTS1772-A09-P3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9(3)</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materiality threshold for the criterion ‘duration and service downtime’ is met where any of the following conditions are fulfilled:</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RTS1772-A09-P3-A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9(3)(a)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duration of the incident is longer than 24 hours;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RTS1772-A09-P3-B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9(3)(b)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service downtime is longer than 2 hours for ICT services that support critical or important functions.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RTS1772-A09-P4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9(4)</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materiality threshold for the criterion ‘geographical spread’ is met where the incident has an impact in two or more Member States in accordance with Article 4.</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RTS1772-A09-P5</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9(5)</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materiality threshold for the criterion ‘data losses’ is met where any of the following conditions are fulfilled:</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RTS1772-A09-P5-A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9(5)(a)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any impact as referred to in Article 5 on the availability, authenticity, integrity or confidentiality of data has or will have an adverse impact on the implementation of the business objectives of the financia</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RTS1772-A09-P5-B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RTS1772 Article 9(5)(b)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any successful, malicious and unauthorised access not covered by point (a) occurs to network and information systems, where such access may result in data losses.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RTS1772-A09-P6</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RTS1772 Article 9(6)</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 6 and Annex A — ICT Incident Classification and Escalation Tool</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materiality threshold for the criterion ‘economic impact’ is met where the costs and losses incurred by the financial entity due to the incident have exceeded or are likely to exceed 100 000 euro.</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RTS301-A01-Part_1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RTS301 Article 1(art_1)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shall include in the initial notification, the intermediate report, and the final report, as referred to in Article 19(4) of Regulation (EU) 2022/2554, the following general information:</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RTS301-A01-Part_1-A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RTS301 Article 1(art_1)(a)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type of submission (initial notification, intermediate report, or final report);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RTS301-A01-Part_1-B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RTS301 Article 1(art_1)(b)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name of the financial entity, its LEI code, and the type of financial entity, as referred to in Article 2(1) of Regulation (EU) 2022/2554;</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RTS301-A01-Part_1-C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RTS301 Article 1(art_1)(c)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name and identification code of the entity that submits the initial notification, or intermediate or final report, for the financial entity;</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RTS301-A01-Part_1-D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RTS301 Article 1(art_1)(d)</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where applicable, the names and LEI codes of all financial entities covered in the aggregated initial notification or intermediate or final report;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RTS301-A01-Part_1-E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RTS301 Article 1(art_1)(e)</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contact details of the persons responsible for communicating with the competent authority on the major ICT-related incident;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RTS301-A01-Part_1-F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RTS301 Article 1(art_1)(f)</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where applicable, the identification of the parent undertaking of the group to which the financial entity belongs;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RTS301-A01-Part_1-G</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RTS301 Article 1(art_1)(g)</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where there is monetary impact, the currency the amounts are based on.</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RTS301-A02-Part_2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RTS301 Article 2(art_2)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Initial notifications as referred to in Article 19(4), point (a), of Regulation (EU) 2022/2554 shall contain at least all of the following specific information:</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RTS301-A02-Part_2-A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RTS301 Article 2(art_2)(a)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incident reference code assigned by the financial entity;</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RTS301-A02-Part_2-B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RTS301 Article 2(art_2)(b)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date of detection, time of detection, and classification of the incident pursuant to Article 8 of Commission Delegated Regulation (EU) 2024/1772 ( 7 )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RTS301-A02-Part_2-C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RTS301 Article 2(art_2)(c)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 description of the ICT-related incident;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RTS301-A02-Part_2-D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RTS301 Article 2(art_2)(d)</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criteria, laid down in Articles 1 to 8 of Delegated Regulation (EU) 2024/1772, on the basis of which the financial entity classified the ICT-related incident as major;</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RTS301-A02-Part_2-E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RTS301 Article 2(art_2)(e)</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Members States that are impacted by the ICT-related incident;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RTS301-A02-Part_2-F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RTS301 Article 2(art_2)(f)</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information on how the ICT-related incident was discovered;</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RTS301-A02-Part_2-G</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RTS301 Article 2(art_2)(g)</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where available, information about the origin of the ICT-related incident;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RTS301-A02-Part_2-H</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RTS301 Article 2(art_2)(h)</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information about whether the financial entity has activated a business continuity plan;</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RTS301-A02-Part_2-I</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RTS301 Article 2(art_2)(i)</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where applicable, information about the reclassification of the ICT-related incident from major to non-major;</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RTS301-A02-Part_2-J</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RTS301 Article 2(art_2)(j)</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where available, any other relevant information.</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RTS301-A03-Part_3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RTS301 Article 3(art_3)</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Intermediate reports as referred to in Article 19(4), point (b), of Regulation (EU) 2022/2554 shall contain at least all of the following specific information:</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RTS301-A03-Part_3-A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RTS301 Article 3(art_3)(a)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where applicable, the incident reference code provided by the competent authority;</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RTS301-A03-Part_3-B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RTS301 Article 3(art_3)(b)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date and time of occurrence of the ICT-related incident;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RTS301-A03-Part_3-C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RTS301 Article 3(art_3)(c)</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where applicable, the date and time when the financial entity has recovered its regular activities;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RTS301-A03-Part_3-D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RTS301 Article 3(art_3)(d)</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information about how the criteria laid down in Articles 1 to 8 of Delegated Regulation (EU) 2024/1772 have been fulfilled, on the basis of which the financial entity classified the ITC-related incident as majo</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RTS301-A03-Part_3-E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RTS301 Article 3(art_3)(e)</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type of ICT-related incident;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RTS301-A03-Part_3-F</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RTS301 Article 3(art_3)(f)</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where applicable, the threats and techniques used by the threat actor;</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RTS301-A03-Part_3-G</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RTS301 Article 3(art_3)(g)</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affected functional areas and business processes;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RTS301-A03-Part_3-H</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RTS301 Article 3(art_3)(h)</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affected infrastructure components supporting business processes;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RTS301-A03-Part_3-I</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RTS301 Article 3(art_3)(i)</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impact on the financial interest of clients;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RTS301-A03-Part_3-J</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RTS301 Article 3(art_3)(j)</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information about reporting about the ICT-related incident to other authorities;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RTS301-A03-Part_3-K</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RTS301 Article 3(art_3)(k)</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temporary actions or measures taken or planned to be taken by the financial entity to recover from the ICT-related incident;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RTS301-A03-Part_3-L</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RTS301 Article 3(art_3)(l)</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where applicable, information on indicators of compromise.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RTS301-A04-Part_4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RTS301 Article 4(art_4)</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Final reports as referred to in Article 19(4), point (c), of Regulation (EU) 2022/2554 shall contain all of the following specific information:</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RTS301-A04-Part_4-A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RTS301 Article 4(art_4)(a)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information about the root causes of the ICT-related incident;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RTS301-A04-Part_4-B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RTS301 Article 4(art_4)(b)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dates and times when the ICT-related incident was resolved and the root cause(s) addressed;</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RTS301-A04-Part_4-C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RTS301 Article 4(art_4)(c)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information on the resolution of the ICT-related incident;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RTS301-A04-Part_4-D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RTS301 Article 4(art_4)(d)</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where applicable, information relevant for resolution authorities;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RTS301-A04-Part_4-E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RTS301 Article 4(art_4)(e)</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information about direct and indirect costs and losses stemming from the ICT-related incident and information about financial recoveries;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RTS301-A04-Part_4-F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RTS301 Article 4(art_4)(f)</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where applicable, information about recurring ICT-related incidents.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RTS301-A05-P1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RTS301 Article 5(1)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shall submit the initial notification and the intermediate and final reports as referred to in Article 19(4), points (a), (b) and (c), of Regulation (EU) 2022/2554 within the following time l</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RTS301-A05-P1-A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RTS301 Article 5(1)(a)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for the initial report: as early as possible, but in any case, within four hours from the classification of the ICT-related incident as a major ICT-related incident and no later than 24 hours from the moment th</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RTS301-A05-P1-B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RTS301 Article 5(1)(b)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for the intermediate report: at the latest within 72 hours from the submission of the initial notification, even where the status or the handling of the incident have not changed as referred to in Article 19(4)</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RTS301-A05-P1-C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RTS301 Article 5(1)(c)</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for the final report: no later than one month after either the submission of the intermediate report, or, where applicable, after the latest updated intermediate report.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RTS301-A05-P2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RTS301 Article 5(2)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Where the financial entity has not classified an ICT-related incident as major within 24 hours from the moment the financial entity has become aware of the ITC-related incident but classifies that ICT-related i</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RTS301-A05-P3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RTS301 Article 5(3)</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that are unable to submit the initial notification, intermediate report, or final report within the time limits set out in paragraph 1, shall inform the competent authority thereof without un</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RTS301-A05-P4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RTS301 Article 5(4)</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Where the time limit for the submission of an initial notification, intermediate report, or a final report falls on a weekend day or a bank holiday in the Member State of the reporting financial entity, the fin</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RTS301-A05-P5</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RTS301 Article 5(5)</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Paragraph 4 shall not apply for the submission of an initial notification or an intermediate report by credit institutions, central counterparties, operators of trading venues, and other financial entities iden</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RTS301-A05-P6</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RTS301 Article 5(6)</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Competent authorities may decide that paragraph 4 shall not apply for the submission of an initial notification or an intermediate report by financial entities, other than those referred to in paragraph 5, whic</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RTS301-A06-Part_6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RTS301 Article 6(art_6)</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Optional</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content of the voluntary notification in relation to significant cyber threats as referred to in Article 19(2) of Regulation (EU) 2022/2554 shall cover all of the following:</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RTS301-A06-Part_6-A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RTS301 Article 6(art_6)(a)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Optional</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general information about the notifying financial entity as set out in Article 1;</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RTS301-A06-Part_6-B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RTS301 Article 6(art_6)(b)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Optional</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date and time of detection of the significant cyber threat and any other relevant timestamps related to the significant cyber threat;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RTS301-A06-Part_6-C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RTS301 Article 6(art_6)(c)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Optional</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 description of the significant cyber threat;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RTS301-A06-Part_6-D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RTS301 Article 6(art_6)(d)</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Optional</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information about the potential impact of the significant cyber threat on the financial entity, its clients, or financial counterparts;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RTS301-A06-Part_6-E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RTS301 Article 6(art_6)(e)</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Optional</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classification criteria that would have triggered a major incident report laid down in Articles 1 to 8 of Delegated Regulation (EU) 2024/1772 if the cyber threat had materialised;</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RTS301-A06-Part_6-F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RTS301 Article 6(art_6)(f)</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Optional</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information about the status of the significant cyber threat and any changes in the threat activity;</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RTS301-A06-Part_6-G</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RTS301 Article 6(art_6)(g)</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Optional</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where applicable, a description of the actions taken by the financial entity to prevent the materialisation of the significant cyber threats;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RTS301-A06-Part_6-H</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RTS301 Article 6(art_6)(h)</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Optional</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information about any notification of the significant cyber threat to other financial entities or authorities;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RTS301-A06-Part_6-I</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RTS301 Article 6(art_6)(i)</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Optional</w:t>
            </w:r>
          </w:p>
        </w:tc>
        <w:tc>
          <w:tcPr>
            <w:tcW w:type="dxa" w:w="2232"/>
            <w:tcMar>
              <w:top w:w="80" w:type="dxa"/>
              <w:start w:w="110" w:type="dxa"/>
              <w:bottom w:w="80" w:type="dxa"/>
              <w:end w:w="110" w:type="dxa"/>
            </w:tcMar>
            <w:vAlign w:val="center"/>
            <w:shd w:fill="F8FAFC"/>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where applicable, information on indicators of compromise;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RTS301-A06-Part_6-J</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RTS301 Article 6(art_6)(j)</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Optional</w:t>
            </w:r>
          </w:p>
        </w:tc>
        <w:tc>
          <w:tcPr>
            <w:tcW w:type="dxa" w:w="2232"/>
            <w:tcMar>
              <w:top w:w="80" w:type="dxa"/>
              <w:start w:w="110" w:type="dxa"/>
              <w:bottom w:w="80" w:type="dxa"/>
              <w:end w:w="110" w:type="dxa"/>
            </w:tcMar>
            <w:vAlign w:val="center"/>
          </w:tcPr>
          <w:p>
            <w:pPr>
              <w:spacing w:before="0" w:after="30" w:line="240" w:lineRule="auto"/>
            </w:pPr>
            <w:r>
              <w:rPr>
                <w:rFonts w:ascii="Arial" w:hAnsi="Arial"/>
                <w:b w:val="0"/>
                <w:color w:val="2D3741"/>
                <w:sz w:val="15"/>
              </w:rPr>
              <w:t>Sections 7–8 and Annex B — Regulatory Reporting Pack and Submission Runbook</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where available, any other relevant information.</w:t>
            </w:r>
          </w:p>
        </w:tc>
      </w:tr>
    </w:tbl>
    <w:p>
      <w:pPr>
        <w:widowControl/>
        <w:spacing w:after="0"/>
      </w:pPr>
    </w:p>
    <w:p>
      <w:pPr>
        <w:pStyle w:val="Heading1"/>
        <w:widowControl/>
      </w:pPr>
      <w:r>
        <w:t>Official source register</w:t>
      </w:r>
    </w:p>
    <w:tbl>
      <w:tblPr>
        <w:tblStyle w:val="TableGrid"/>
        <w:tblW w:type="auto" w:w="0"/>
        <w:jc w:val="center"/>
        <w:tblLayout w:type="fixed"/>
        <w:tblLook w:firstColumn="1" w:firstRow="1" w:lastColumn="0" w:lastRow="0" w:noHBand="0" w:noVBand="1" w:val="04A0"/>
      </w:tblPr>
      <w:tblGrid>
        <w:gridCol w:w="3528"/>
        <w:gridCol w:w="6350"/>
      </w:tblGrid>
      <w:tr>
        <w:trPr>
          <w:tblHeader w:val="true"/>
          <w:tblHeader w:val="true"/>
        </w:trPr>
        <w:tc>
          <w:tcPr>
            <w:tcW w:type="dxa" w:w="3528"/>
            <w:shd w:fill="17365D"/>
            <w:tcMar>
              <w:top w:w="80" w:type="dxa"/>
              <w:start w:w="110" w:type="dxa"/>
              <w:bottom w:w="80" w:type="dxa"/>
              <w:end w:w="110" w:type="dxa"/>
            </w:tcMar>
            <w:vAlign w:val="center"/>
          </w:tcPr>
          <w:p>
            <w:pPr>
              <w:widowControl/>
            </w:pPr>
            <w:r>
              <w:rPr>
                <w:rFonts w:ascii="Calibri" w:hAnsi="Calibri"/>
                <w:b/>
                <w:color w:val="FFFFFF"/>
                <w:sz w:val="15"/>
              </w:rPr>
              <w:t>Source</w:t>
            </w:r>
          </w:p>
        </w:tc>
        <w:tc>
          <w:tcPr>
            <w:tcW w:type="dxa" w:w="6350"/>
            <w:shd w:fill="17365D"/>
            <w:tcMar>
              <w:top w:w="80" w:type="dxa"/>
              <w:start w:w="110" w:type="dxa"/>
              <w:bottom w:w="80" w:type="dxa"/>
              <w:end w:w="110" w:type="dxa"/>
            </w:tcMar>
            <w:vAlign w:val="center"/>
          </w:tcPr>
          <w:p>
            <w:pPr>
              <w:widowControl/>
            </w:pPr>
            <w:r>
              <w:rPr>
                <w:rFonts w:ascii="Calibri" w:hAnsi="Calibri"/>
                <w:b/>
                <w:color w:val="FFFFFF"/>
                <w:sz w:val="15"/>
              </w:rPr>
              <w:t>Official URL</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DORA</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https://eur-lex.europa.eu/eli/reg/2022/2554/oj/eng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Simplified ICT-risk RTS 2024/1774</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https://eur-lex.europa.eu/eli/reg_del/2024/1774/oj/eng</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Incident classification RTS 2024/1772</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https://eur-lex.europa.eu/eli/reg_del/2024/1772/oj/eng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Incident content/timing RTS 2025/301</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https://eur-lex.europa.eu/eli/reg_del/2025/301/oj/eng</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Incident forms ITS 2025/302</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https://eur-lex.europa.eu/eli/reg_impl/2025/302/oj/eng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Register ITS 2024/2956</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https://eur-lex.europa.eu/eli/reg_impl/2024/2956/oj/eng</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Subcontracting RTS 2025/532</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https://eur-lex.europa.eu/eli/reg_del/2025/532/oj/eng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Icelandic Act No. 78/2025</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https://www.althingi.is/lagas/nuna/2025078.html</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Central Bank Rules No. 310/2026</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https://island.is/stjornartidindi/nr/87da1483-6a2a-412a-9021-30b9a817ad51</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Central Bank DORA guidance</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https://sedlabanki.is/fjarmalaeftirlit/stafraenn-vidnamsthrottur-a-fjarmalamarkadi-dora/</w:t>
            </w:r>
          </w:p>
        </w:tc>
      </w:tr>
    </w:tbl>
    <w:p>
      <w:pPr>
        <w:widowControl/>
        <w:spacing w:after="0"/>
      </w:pPr>
    </w:p>
    <w:p>
      <w:r>
        <w:br w:type="page"/>
      </w:r>
    </w:p>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tblLayout w:type="fixed"/>
      <w:tblLook w:firstColumn="1" w:firstRow="1" w:lastColumn="0" w:lastRow="0" w:noHBand="0" w:noVBand="1" w:val="04A0"/>
    </w:tblPr>
    <w:tblGrid>
      <w:gridCol w:w="3168"/>
      <w:gridCol w:w="3542"/>
      <w:gridCol w:w="3168"/>
    </w:tblGrid>
    <w:tr>
      <w:tc>
        <w:tcPr>
          <w:tcW w:type="dxa" w:w="3168"/>
          <w:tcMar>
            <w:top w:w="40" w:type="dxa"/>
            <w:start w:w="0" w:type="dxa"/>
            <w:bottom w:w="0" w:type="dxa"/>
            <w:end w:w="0" w:type="dxa"/>
          </w:tcMar>
        </w:tcPr>
        <w:p>
          <w:r>
            <w:rPr>
              <w:rFonts w:ascii="Calibri" w:hAnsi="Calibri"/>
              <w:b w:val="0"/>
              <w:color w:val="667085"/>
              <w:sz w:val="15"/>
            </w:rPr>
            <w:t>[FIRM NAME]</w:t>
          </w:r>
        </w:p>
      </w:tc>
      <w:tc>
        <w:tcPr>
          <w:tcW w:type="dxa" w:w="3542"/>
          <w:tcMar>
            <w:top w:w="40" w:type="dxa"/>
            <w:start w:w="0" w:type="dxa"/>
            <w:bottom w:w="0" w:type="dxa"/>
            <w:end w:w="0" w:type="dxa"/>
          </w:tcMar>
        </w:tcPr>
        <w:p>
          <w:pPr>
            <w:jc w:val="center"/>
          </w:pPr>
          <w:r>
            <w:rPr>
              <w:rFonts w:ascii="Calibri" w:hAnsi="Calibri"/>
              <w:b w:val="0"/>
              <w:color w:val="667085"/>
              <w:sz w:val="15"/>
            </w:rPr>
            <w:t>CONFIDENTIAL — CONTROLLED TEMPLATE</w:t>
          </w:r>
        </w:p>
      </w:tc>
      <w:tc>
        <w:tcPr>
          <w:tcW w:type="dxa" w:w="3168"/>
          <w:tcMar>
            <w:top w:w="40" w:type="dxa"/>
            <w:start w:w="0" w:type="dxa"/>
            <w:bottom w:w="0" w:type="dxa"/>
            <w:end w:w="0" w:type="dxa"/>
          </w:tcMar>
        </w:tcPr>
        <w:p>
          <w:pPr>
            <w:jc w:val="right"/>
          </w:pPr>
          <w:r>
            <w:rPr>
              <w:rFonts w:ascii="Calibri" w:hAnsi="Calibri"/>
              <w:b w:val="0"/>
              <w:color w:val="667085"/>
              <w:sz w:val="15"/>
            </w:rPr>
            <w:t xml:space="preserve">Page </w:t>
          </w:r>
          <w:r>
            <w:fldChar w:fldCharType="begin"/>
            <w:instrText xml:space="preserve">PAGE</w:instrText>
            <w:fldChar w:fldCharType="end"/>
          </w:r>
          <w:r>
            <w:rPr>
              <w:rFonts w:ascii="Calibri" w:hAnsi="Calibri"/>
              <w:b w:val="0"/>
              <w:color w:val="667085"/>
              <w:sz w:val="15"/>
            </w:rPr>
            <w:t xml:space="preserve"> of </w:t>
          </w:r>
          <w:r>
            <w:fldChar w:fldCharType="begin"/>
            <w:instrText xml:space="preserve">NUMPAGES</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Calibri" w:hAnsi="Calibri"/>
        <w:b/>
        <w:color w:val="667085"/>
        <w:sz w:val="15"/>
      </w:rPr>
      <w:t>D06  |  ICT INCIDENT MANAGEMENT &amp; DORA REPORTING PROCEDURE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69" w:lineRule="auto"/>
    </w:pPr>
    <w:rPr>
      <w:rFonts w:ascii="Calibri" w:hAnsi="Calibri"/>
      <w:color w:val="1F2937"/>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20" w:after="160"/>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Calibri" w:hAnsi="Calibri"/>
      <w:b/>
      <w:bCs/>
      <w:color w:val="1F4D78"/>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60"/>
      <w:ind w:left="461" w:hanging="259"/>
      <w:contextualSpacing/>
    </w:pPr>
    <w:rPr>
      <w:rFonts w:ascii="Calibri" w:hAnsi="Calibri"/>
      <w:sz w:val="20"/>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60"/>
      <w:ind w:left="461" w:hanging="259"/>
      <w:contextualSpacing/>
    </w:pPr>
    <w:rPr>
      <w:rFonts w:ascii="Calibri" w:hAnsi="Calibri"/>
      <w:sz w:val="20"/>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DraftingNote">
    <w:name w:val="Drafting Note"/>
    <w:pPr>
      <w:spacing w:after="80"/>
    </w:pPr>
    <w:rPr>
      <w:rFonts w:ascii="Calibri" w:hAnsi="Calibri"/>
      <w:i/>
      <w:color w:val="667085"/>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D06 ICT Incident Management &amp; DORA Reporting Procedure</dc:title>
  <dc:subject>DORA SNI Documentation &amp; Implementation Suite v1.1</dc:subject>
  <dc:creator>DORA SNI Documentation &amp; Implementation Suite v1.0</dc:creator>
  <cp:keywords/>
  <dc:description>Version 1.1 adds Annexes A–E and remediates the controlled traceability references.</dc:description>
  <cp:lastModifiedBy/>
  <cp:revision>1</cp:revision>
  <dcterms:created xsi:type="dcterms:W3CDTF">2013-12-23T23:15:00Z</dcterms:created>
  <dcterms:modified xsi:type="dcterms:W3CDTF">2013-12-23T23:15:00Z</dcterms:modified>
  <cp:category/>
</cp:coreProperties>
</file>