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D05</w:t>
      </w:r>
    </w:p>
    <w:p>
      <w:pPr>
        <w:widowControl/>
        <w:spacing w:after="240" w:line="235" w:lineRule="auto"/>
      </w:pPr>
      <w:r>
        <w:rPr>
          <w:rFonts w:ascii="Calibri" w:hAnsi="Calibri"/>
          <w:b/>
          <w:color w:val="17365D"/>
          <w:sz w:val="54"/>
        </w:rPr>
        <w:t>ICT Business Continuity, Response &amp; Recovery Plan</w:t>
      </w:r>
    </w:p>
    <w:p>
      <w:pPr>
        <w:widowControl/>
        <w:spacing w:after="560"/>
      </w:pPr>
      <w:r>
        <w:rPr>
          <w:rFonts w:ascii="Calibri" w:hAnsi="Calibri"/>
          <w:b/>
          <w:color w:val="FFFFFF"/>
          <w:sz w:val="20"/>
          <w:shd w:fill="0F6B78"/>
        </w:rPr>
        <w:t>OPERATIONAL PLAN TEMPLATE</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[1.0]</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D05</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ICT Business Continuity, Response &amp; Recovery Plan</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[Business Continuity / ICT Recovery Owner]</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Management body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[1.0]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At least annually and after material test, incident or change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bl>
    <w:p>
      <w:pPr>
        <w:widowControl/>
        <w:spacing w:after="0"/>
      </w:pPr>
    </w:p>
    <w:p>
      <w:pPr>
        <w:pStyle w:val="Heading1"/>
        <w:widowControl/>
      </w:pPr>
      <w:r>
        <w:t>Definitions and interpretation</w:t>
      </w:r>
    </w:p>
    <w:tbl>
      <w:tblPr>
        <w:tblStyle w:val="TableGrid"/>
        <w:tblW w:type="auto" w:w="0"/>
        <w:jc w:val="center"/>
        <w:tblLayout w:type="fixed"/>
        <w:tblLook w:firstColumn="1" w:firstRow="1" w:lastColumn="0" w:lastRow="0" w:noHBand="0" w:noVBand="1" w:val="04A0"/>
      </w:tblPr>
      <w:tblGrid>
        <w:gridCol w:w="2736"/>
        <w:gridCol w:w="7142"/>
      </w:tblGrid>
      <w:tr>
        <w:trPr>
          <w:tblHeader w:val="true"/>
        </w:trPr>
        <w:tc>
          <w:tcPr>
            <w:tcW w:type="dxa" w:w="2736"/>
            <w:shd w:fill="17365D"/>
            <w:tcMar>
              <w:top w:w="80" w:type="dxa"/>
              <w:start w:w="110" w:type="dxa"/>
              <w:bottom w:w="80" w:type="dxa"/>
              <w:end w:w="110" w:type="dxa"/>
            </w:tcMar>
            <w:vAlign w:val="center"/>
          </w:tcPr>
          <w:p>
            <w:pPr>
              <w:widowControl/>
            </w:pPr>
            <w:r>
              <w:rPr>
                <w:rFonts w:ascii="Calibri" w:hAnsi="Calibri"/>
                <w:b/>
                <w:color w:val="FFFFFF"/>
                <w:sz w:val="16"/>
              </w:rPr>
              <w:t>Term</w:t>
            </w:r>
          </w:p>
        </w:tc>
        <w:tc>
          <w:tcPr>
            <w:tcW w:type="dxa" w:w="7142"/>
            <w:shd w:fill="17365D"/>
            <w:tcMar>
              <w:top w:w="80" w:type="dxa"/>
              <w:start w:w="110" w:type="dxa"/>
              <w:bottom w:w="80" w:type="dxa"/>
              <w:end w:w="110" w:type="dxa"/>
            </w:tcMar>
            <w:vAlign w:val="center"/>
          </w:tcPr>
          <w:p>
            <w:pPr>
              <w:widowControl/>
            </w:pPr>
            <w:r>
              <w:rPr>
                <w:rFonts w:ascii="Calibri" w:hAnsi="Calibri"/>
                <w:b/>
                <w:color w:val="FFFFFF"/>
                <w:sz w:val="16"/>
              </w:rPr>
              <w:t>Meaning</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Critical or important function</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function whose disruption would materially impair financial performance, soundness, continuity of services or compliance with authorisation conditions or financial-services law.</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DORA</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Regulation (EU) 2022/2554 as incorporated into the EEA Agreement and given force in Iceland by Act No. 78/2025.</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ICT asset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software or hardware asset in network and information systems used by the firm.</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ICT risk</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reasonably identifiable circumstance relating to network and information systems that may compromise security, operations or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The board of directors or other body performing management-body responsibilities.</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BIA</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Business impact analysis.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RPO</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Maximum tolerable data loss measured backwards in time.</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RTO</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Target time to restore a service after disruption.</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MTPD</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Maximum tolerable period of disruption before impact becomes unacceptable.</w:t>
            </w:r>
          </w:p>
        </w:tc>
      </w:tr>
    </w:tbl>
    <w:p>
      <w:pPr>
        <w:widowControl/>
        <w:spacing w:after="0"/>
      </w:pPr>
    </w:p>
    <w:p>
      <w:pPr>
        <w:pStyle w:val="Heading1"/>
        <w:widowControl/>
      </w:pPr>
      <w:r>
        <w:t>1. Purpose, assumptions and activation authority</w:t>
      </w:r>
    </w:p>
    <w:p>
      <w:pPr>
        <w:widowControl/>
      </w:pPr>
      <w:r>
        <w:t>This Plan establishes coordinated business-continuity, ICT response and recovery arrangements for critical or important functions. It must be populated from D04 and the BIA workbook, validated by system and provider owners, and tested through D08. It is not evidence that recovery is possible until restoration and scenario tests succeed.</w:t>
      </w:r>
    </w:p>
    <w:tbl>
      <w:tblPr>
        <w:tblStyle w:val="TableGrid"/>
        <w:tblW w:type="auto" w:w="0"/>
        <w:jc w:val="center"/>
        <w:tblLayout w:type="fixed"/>
        <w:tblLook w:firstColumn="1" w:firstRow="1" w:lastColumn="0" w:lastRow="0" w:noHBand="0" w:noVBand="1" w:val="04A0"/>
      </w:tblPr>
      <w:tblGrid>
        <w:gridCol w:w="3744"/>
        <w:gridCol w:w="3067"/>
        <w:gridCol w:w="3067"/>
      </w:tblGrid>
      <w:tr>
        <w:trPr>
          <w:tblHeader w:val="true"/>
        </w:trPr>
        <w:tc>
          <w:tcPr>
            <w:tcW w:type="dxa" w:w="374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3067"/>
            <w:shd w:fill="17365D"/>
            <w:tcMar>
              <w:top w:w="80" w:type="dxa"/>
              <w:start w:w="110" w:type="dxa"/>
              <w:bottom w:w="80" w:type="dxa"/>
              <w:end w:w="110" w:type="dxa"/>
            </w:tcMar>
            <w:vAlign w:val="center"/>
          </w:tcPr>
          <w:p>
            <w:pPr>
              <w:widowControl/>
            </w:pPr>
            <w:r>
              <w:rPr>
                <w:rFonts w:ascii="Calibri" w:hAnsi="Calibri"/>
                <w:b/>
                <w:color w:val="FFFFFF"/>
                <w:sz w:val="16"/>
              </w:rPr>
              <w:t>Authority</w:t>
            </w:r>
          </w:p>
        </w:tc>
        <w:tc>
          <w:tcPr>
            <w:tcW w:type="dxa" w:w="3067"/>
            <w:shd w:fill="17365D"/>
            <w:tcMar>
              <w:top w:w="80" w:type="dxa"/>
              <w:start w:w="110" w:type="dxa"/>
              <w:bottom w:w="80" w:type="dxa"/>
              <w:end w:w="110" w:type="dxa"/>
            </w:tcMar>
            <w:vAlign w:val="center"/>
          </w:tcPr>
          <w:p>
            <w:pPr>
              <w:widowControl/>
            </w:pPr>
            <w:r>
              <w:rPr>
                <w:rFonts w:ascii="Calibri" w:hAnsi="Calibri"/>
                <w:b/>
                <w:color w:val="FFFFFF"/>
                <w:sz w:val="16"/>
              </w:rPr>
              <w:t>Alternate</w:t>
            </w:r>
          </w:p>
        </w:tc>
      </w:tr>
      <w:tr>
        <w:trPr>
          <w:cantSplit/>
        </w:trPr>
        <w:tc>
          <w:tcPr>
            <w:tcW w:type="dxa" w:w="3744"/>
            <w:tcMar>
              <w:top w:w="80" w:type="dxa"/>
              <w:start w:w="110" w:type="dxa"/>
              <w:bottom w:w="80" w:type="dxa"/>
              <w:end w:w="110" w:type="dxa"/>
            </w:tcMar>
            <w:vAlign w:val="center"/>
          </w:tcPr>
          <w:p>
            <w:pPr>
              <w:widowControl/>
              <w:spacing w:after="0"/>
            </w:pPr>
            <w:r>
              <w:rPr>
                <w:rFonts w:ascii="Calibri" w:hAnsi="Calibri"/>
                <w:b w:val="0"/>
                <w:color w:val="1F2937"/>
                <w:sz w:val="16"/>
              </w:rPr>
              <w:t>Activate plan</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6"/>
              </w:rPr>
              <w:t>[INCIDENT / CRISIS LEAD]</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6"/>
              </w:rPr>
              <w:t>[ALTERNATE]</w:t>
            </w:r>
          </w:p>
        </w:tc>
      </w:tr>
      <w:tr>
        <w:trPr>
          <w:cantSplit/>
        </w:trPr>
        <w:tc>
          <w:tcPr>
            <w:tcW w:type="dxa" w:w="3744"/>
            <w:tcMar>
              <w:top w:w="80" w:type="dxa"/>
              <w:start w:w="110" w:type="dxa"/>
              <w:bottom w:w="80" w:type="dxa"/>
              <w:end w:w="110" w:type="dxa"/>
            </w:tcMar>
            <w:vAlign w:val="center"/>
            <w:shd w:fill="F8FAFC"/>
          </w:tcPr>
          <w:p>
            <w:pPr>
              <w:widowControl/>
              <w:spacing w:after="0"/>
            </w:pPr>
            <w:r>
              <w:rPr>
                <w:rFonts w:ascii="Calibri" w:hAnsi="Calibri"/>
                <w:b w:val="0"/>
                <w:color w:val="1F2937"/>
                <w:sz w:val="16"/>
              </w:rPr>
              <w:t>Declare disaster / invoke provider recovery</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6"/>
              </w:rPr>
              <w:t>[EXECUTIVE]</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6"/>
              </w:rPr>
              <w:t>[ALTERNATE]</w:t>
            </w:r>
          </w:p>
        </w:tc>
      </w:tr>
      <w:tr>
        <w:trPr>
          <w:cantSplit/>
        </w:trPr>
        <w:tc>
          <w:tcPr>
            <w:tcW w:type="dxa" w:w="3744"/>
            <w:tcMar>
              <w:top w:w="80" w:type="dxa"/>
              <w:start w:w="110" w:type="dxa"/>
              <w:bottom w:w="80" w:type="dxa"/>
              <w:end w:w="110" w:type="dxa"/>
            </w:tcMar>
            <w:vAlign w:val="center"/>
          </w:tcPr>
          <w:p>
            <w:pPr>
              <w:widowControl/>
              <w:spacing w:after="0"/>
            </w:pPr>
            <w:r>
              <w:rPr>
                <w:rFonts w:ascii="Calibri" w:hAnsi="Calibri"/>
                <w:b w:val="0"/>
                <w:color w:val="1F2937"/>
                <w:sz w:val="16"/>
              </w:rPr>
              <w:t>Approve regulatory/client communications</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6"/>
              </w:rPr>
              <w:t>[COMPLIANCE / EXECUTIVE]</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6"/>
              </w:rPr>
              <w:t>[ALTERNATE]</w:t>
            </w:r>
          </w:p>
        </w:tc>
      </w:tr>
      <w:tr>
        <w:trPr>
          <w:cantSplit/>
        </w:trPr>
        <w:tc>
          <w:tcPr>
            <w:tcW w:type="dxa" w:w="374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 return to normal</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6"/>
              </w:rPr>
              <w:t>[EXECUTIVE + BUSINESS OWNER]</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6"/>
              </w:rPr>
              <w:t>[ALTERNATE]</w:t>
            </w:r>
          </w:p>
        </w:tc>
      </w:tr>
    </w:tbl>
    <w:p>
      <w:pPr>
        <w:widowControl/>
        <w:spacing w:after="0"/>
      </w:pPr>
    </w:p>
    <w:p>
      <w:pPr>
        <w:pStyle w:val="Heading1"/>
        <w:widowControl/>
      </w:pPr>
      <w:r>
        <w:t>2. Activation criteria and severity</w:t>
      </w:r>
    </w:p>
    <w:p>
      <w:pPr>
        <w:pStyle w:val="ListBullet"/>
        <w:widowControl/>
        <w:ind w:left="461"/>
      </w:pPr>
      <w:r>
        <w:t>actual or forecast unavailability of a critical or important function beyond its operational tolerance;</w:t>
      </w:r>
    </w:p>
    <w:p>
      <w:pPr>
        <w:pStyle w:val="ListBullet"/>
        <w:widowControl/>
        <w:ind w:left="461"/>
      </w:pPr>
      <w:r>
        <w:t>loss, corruption or compromise of data that affects recovery or regulatory obligations;</w:t>
      </w:r>
    </w:p>
    <w:p>
      <w:pPr>
        <w:pStyle w:val="ListBullet"/>
        <w:widowControl/>
        <w:ind w:left="461"/>
      </w:pPr>
      <w:r>
        <w:t>failure of a material ICT provider or communications channel without an adequate workaround;</w:t>
      </w:r>
    </w:p>
    <w:p>
      <w:pPr>
        <w:pStyle w:val="ListBullet"/>
        <w:widowControl/>
        <w:ind w:left="461"/>
      </w:pPr>
      <w:r>
        <w:t>loss of premises, power, workforce access or key personnel affecting critical delivery;</w:t>
      </w:r>
    </w:p>
    <w:p>
      <w:pPr>
        <w:pStyle w:val="ListBullet"/>
        <w:widowControl/>
        <w:ind w:left="461"/>
      </w:pPr>
      <w:r>
        <w:t>cyber incident requiring containment that materially restricts normal operations;</w:t>
      </w:r>
    </w:p>
    <w:p>
      <w:pPr>
        <w:pStyle w:val="ListBullet"/>
        <w:widowControl/>
        <w:ind w:left="461"/>
      </w:pPr>
      <w:r>
        <w:t>direction from management, competent authority or emergency services.</w:t>
      </w: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FIRST 30 MINUTES</w:t>
            </w:r>
            <w:r>
              <w:rPr>
                <w:rFonts w:ascii="Calibri" w:hAnsi="Calibri"/>
              </w:rPr>
              <w:br/>
              <w:t>Protect people; confirm incident leadership; record the decision time; stabilise and contain; assess affected functions/assets/providers; preserve evidence; activate communication paths; and start the D06 classification/reporting clock.</w:t>
            </w:r>
          </w:p>
        </w:tc>
      </w:tr>
    </w:tbl>
    <w:p>
      <w:pPr>
        <w:widowControl/>
        <w:spacing w:after="0"/>
      </w:pPr>
    </w:p>
    <w:p>
      <w:pPr>
        <w:pStyle w:val="Heading1"/>
        <w:widowControl/>
      </w:pPr>
      <w:r>
        <w:t>3. Crisis organisation and contacts</w:t>
      </w:r>
    </w:p>
    <w:tbl>
      <w:tblPr>
        <w:tblStyle w:val="TableGrid"/>
        <w:tblW w:type="auto" w:w="0"/>
        <w:jc w:val="center"/>
        <w:tblLayout w:type="fixed"/>
        <w:tblLook w:firstColumn="1" w:firstRow="1" w:lastColumn="0" w:lastRow="0" w:noHBand="0" w:noVBand="1" w:val="04A0"/>
      </w:tblPr>
      <w:tblGrid>
        <w:gridCol w:w="1800"/>
        <w:gridCol w:w="2160"/>
        <w:gridCol w:w="4248"/>
        <w:gridCol w:w="1670"/>
      </w:tblGrid>
      <w:tr>
        <w:trPr>
          <w:tblHeader w:val="true"/>
        </w:trPr>
        <w:tc>
          <w:tcPr>
            <w:tcW w:type="dxa" w:w="1800"/>
            <w:shd w:fill="17365D"/>
            <w:tcMar>
              <w:top w:w="80" w:type="dxa"/>
              <w:start w:w="110" w:type="dxa"/>
              <w:bottom w:w="80" w:type="dxa"/>
              <w:end w:w="110" w:type="dxa"/>
            </w:tcMar>
            <w:vAlign w:val="center"/>
          </w:tcPr>
          <w:p>
            <w:pPr>
              <w:widowControl/>
            </w:pPr>
            <w:r>
              <w:rPr>
                <w:rFonts w:ascii="Calibri" w:hAnsi="Calibri"/>
                <w:b/>
                <w:color w:val="FFFFFF"/>
                <w:sz w:val="15"/>
              </w:rPr>
              <w:t>Role</w:t>
            </w:r>
          </w:p>
        </w:tc>
        <w:tc>
          <w:tcPr>
            <w:tcW w:type="dxa" w:w="2160"/>
            <w:shd w:fill="17365D"/>
            <w:tcMar>
              <w:top w:w="80" w:type="dxa"/>
              <w:start w:w="110" w:type="dxa"/>
              <w:bottom w:w="80" w:type="dxa"/>
              <w:end w:w="110" w:type="dxa"/>
            </w:tcMar>
            <w:vAlign w:val="center"/>
          </w:tcPr>
          <w:p>
            <w:pPr>
              <w:widowControl/>
            </w:pPr>
            <w:r>
              <w:rPr>
                <w:rFonts w:ascii="Calibri" w:hAnsi="Calibri"/>
                <w:b/>
                <w:color w:val="FFFFFF"/>
                <w:sz w:val="15"/>
              </w:rPr>
              <w:t>Named person / alternate</w:t>
            </w:r>
          </w:p>
        </w:tc>
        <w:tc>
          <w:tcPr>
            <w:tcW w:type="dxa" w:w="4248"/>
            <w:shd w:fill="17365D"/>
            <w:tcMar>
              <w:top w:w="80" w:type="dxa"/>
              <w:start w:w="110" w:type="dxa"/>
              <w:bottom w:w="80" w:type="dxa"/>
              <w:end w:w="110" w:type="dxa"/>
            </w:tcMar>
            <w:vAlign w:val="center"/>
          </w:tcPr>
          <w:p>
            <w:pPr>
              <w:widowControl/>
            </w:pPr>
            <w:r>
              <w:rPr>
                <w:rFonts w:ascii="Calibri" w:hAnsi="Calibri"/>
                <w:b/>
                <w:color w:val="FFFFFF"/>
                <w:sz w:val="15"/>
              </w:rPr>
              <w:t>Core duty</w:t>
            </w:r>
          </w:p>
        </w:tc>
        <w:tc>
          <w:tcPr>
            <w:tcW w:type="dxa" w:w="1670"/>
            <w:shd w:fill="17365D"/>
            <w:tcMar>
              <w:top w:w="80" w:type="dxa"/>
              <w:start w:w="110" w:type="dxa"/>
              <w:bottom w:w="80" w:type="dxa"/>
              <w:end w:w="110" w:type="dxa"/>
            </w:tcMar>
            <w:vAlign w:val="center"/>
          </w:tcPr>
          <w:p>
            <w:pPr>
              <w:widowControl/>
            </w:pPr>
            <w:r>
              <w:rPr>
                <w:rFonts w:ascii="Calibri" w:hAnsi="Calibri"/>
                <w:b/>
                <w:color w:val="FFFFFF"/>
                <w:sz w:val="15"/>
              </w:rPr>
              <w:t>Contact</w:t>
            </w:r>
          </w:p>
        </w:tc>
      </w:tr>
      <w:tr>
        <w:trPr>
          <w:cantSplit/>
        </w:trPr>
        <w:tc>
          <w:tcPr>
            <w:tcW w:type="dxa" w:w="1800"/>
            <w:tcMar>
              <w:top w:w="80" w:type="dxa"/>
              <w:start w:w="110" w:type="dxa"/>
              <w:bottom w:w="80" w:type="dxa"/>
              <w:end w:w="110" w:type="dxa"/>
            </w:tcMar>
            <w:vAlign w:val="center"/>
          </w:tcPr>
          <w:p>
            <w:pPr>
              <w:widowControl/>
              <w:spacing w:after="0"/>
            </w:pPr>
            <w:r>
              <w:rPr>
                <w:rFonts w:ascii="Calibri" w:hAnsi="Calibri"/>
                <w:b/>
                <w:color w:val="1F4D78"/>
                <w:sz w:val="15"/>
              </w:rPr>
              <w:t>Crisis lead</w:t>
            </w:r>
          </w:p>
        </w:tc>
        <w:tc>
          <w:tcPr>
            <w:tcW w:type="dxa" w:w="2160"/>
            <w:tcMar>
              <w:top w:w="80" w:type="dxa"/>
              <w:start w:w="110" w:type="dxa"/>
              <w:bottom w:w="80" w:type="dxa"/>
              <w:end w:w="110" w:type="dxa"/>
            </w:tcMar>
            <w:vAlign w:val="center"/>
          </w:tcPr>
          <w:p>
            <w:pPr>
              <w:widowControl/>
              <w:spacing w:after="0"/>
            </w:pPr>
            <w:r>
              <w:rPr>
                <w:rFonts w:ascii="Calibri" w:hAnsi="Calibri"/>
                <w:b w:val="0"/>
                <w:color w:val="1F2937"/>
                <w:sz w:val="15"/>
              </w:rPr>
              <w:t>[NAME / ALT]</w:t>
            </w:r>
          </w:p>
        </w:tc>
        <w:tc>
          <w:tcPr>
            <w:tcW w:type="dxa" w:w="4248"/>
            <w:tcMar>
              <w:top w:w="80" w:type="dxa"/>
              <w:start w:w="110" w:type="dxa"/>
              <w:bottom w:w="80" w:type="dxa"/>
              <w:end w:w="110" w:type="dxa"/>
            </w:tcMar>
            <w:vAlign w:val="center"/>
          </w:tcPr>
          <w:p>
            <w:pPr>
              <w:widowControl/>
              <w:spacing w:after="0"/>
            </w:pPr>
            <w:r>
              <w:rPr>
                <w:rFonts w:ascii="Calibri" w:hAnsi="Calibri"/>
                <w:b w:val="0"/>
                <w:color w:val="1F2937"/>
                <w:sz w:val="15"/>
              </w:rPr>
              <w:t>Overall command, priorities and decisions</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5"/>
              </w:rPr>
              <w:t>[SECURE CONTACT]</w:t>
            </w:r>
          </w:p>
        </w:tc>
      </w:tr>
      <w:tr>
        <w:trPr>
          <w:cantSplit/>
        </w:trPr>
        <w:tc>
          <w:tcPr>
            <w:tcW w:type="dxa" w:w="1800"/>
            <w:tcMar>
              <w:top w:w="80" w:type="dxa"/>
              <w:start w:w="110" w:type="dxa"/>
              <w:bottom w:w="80" w:type="dxa"/>
              <w:end w:w="110" w:type="dxa"/>
            </w:tcMar>
            <w:vAlign w:val="center"/>
            <w:shd w:fill="F8FAFC"/>
          </w:tcPr>
          <w:p>
            <w:pPr>
              <w:widowControl/>
              <w:spacing w:after="0"/>
            </w:pPr>
            <w:r>
              <w:rPr>
                <w:rFonts w:ascii="Calibri" w:hAnsi="Calibri"/>
                <w:b/>
                <w:color w:val="1F4D78"/>
                <w:sz w:val="15"/>
              </w:rPr>
              <w:t>ICT recovery lead</w:t>
            </w:r>
          </w:p>
        </w:tc>
        <w:tc>
          <w:tcPr>
            <w:tcW w:type="dxa" w:w="2160"/>
            <w:tcMar>
              <w:top w:w="80" w:type="dxa"/>
              <w:start w:w="110" w:type="dxa"/>
              <w:bottom w:w="80" w:type="dxa"/>
              <w:end w:w="110" w:type="dxa"/>
            </w:tcMar>
            <w:vAlign w:val="center"/>
            <w:shd w:fill="F8FAFC"/>
          </w:tcPr>
          <w:p>
            <w:pPr>
              <w:widowControl/>
              <w:spacing w:after="0"/>
            </w:pPr>
            <w:r>
              <w:rPr>
                <w:rFonts w:ascii="Calibri" w:hAnsi="Calibri"/>
                <w:b w:val="0"/>
                <w:color w:val="1F2937"/>
                <w:sz w:val="15"/>
              </w:rPr>
              <w:t>[NAME / ALT]</w:t>
            </w:r>
          </w:p>
        </w:tc>
        <w:tc>
          <w:tcPr>
            <w:tcW w:type="dxa" w:w="4248"/>
            <w:tcMar>
              <w:top w:w="80" w:type="dxa"/>
              <w:start w:w="110" w:type="dxa"/>
              <w:bottom w:w="80" w:type="dxa"/>
              <w:end w:w="110" w:type="dxa"/>
            </w:tcMar>
            <w:vAlign w:val="center"/>
            <w:shd w:fill="F8FAFC"/>
          </w:tcPr>
          <w:p>
            <w:pPr>
              <w:widowControl/>
              <w:spacing w:after="0"/>
            </w:pPr>
            <w:r>
              <w:rPr>
                <w:rFonts w:ascii="Calibri" w:hAnsi="Calibri"/>
                <w:b w:val="0"/>
                <w:color w:val="1F2937"/>
                <w:sz w:val="15"/>
              </w:rPr>
              <w:t>Technical containment, restoration and provider coordination</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5"/>
              </w:rPr>
              <w:t>[CONTACT]</w:t>
            </w:r>
          </w:p>
        </w:tc>
      </w:tr>
      <w:tr>
        <w:trPr>
          <w:cantSplit/>
        </w:trPr>
        <w:tc>
          <w:tcPr>
            <w:tcW w:type="dxa" w:w="1800"/>
            <w:tcMar>
              <w:top w:w="80" w:type="dxa"/>
              <w:start w:w="110" w:type="dxa"/>
              <w:bottom w:w="80" w:type="dxa"/>
              <w:end w:w="110" w:type="dxa"/>
            </w:tcMar>
            <w:vAlign w:val="center"/>
          </w:tcPr>
          <w:p>
            <w:pPr>
              <w:widowControl/>
              <w:spacing w:after="0"/>
            </w:pPr>
            <w:r>
              <w:rPr>
                <w:rFonts w:ascii="Calibri" w:hAnsi="Calibri"/>
                <w:b/>
                <w:color w:val="1F4D78"/>
                <w:sz w:val="15"/>
              </w:rPr>
              <w:t>Business continuity lead</w:t>
            </w:r>
          </w:p>
        </w:tc>
        <w:tc>
          <w:tcPr>
            <w:tcW w:type="dxa" w:w="2160"/>
            <w:tcMar>
              <w:top w:w="80" w:type="dxa"/>
              <w:start w:w="110" w:type="dxa"/>
              <w:bottom w:w="80" w:type="dxa"/>
              <w:end w:w="110" w:type="dxa"/>
            </w:tcMar>
            <w:vAlign w:val="center"/>
          </w:tcPr>
          <w:p>
            <w:pPr>
              <w:widowControl/>
              <w:spacing w:after="0"/>
            </w:pPr>
            <w:r>
              <w:rPr>
                <w:rFonts w:ascii="Calibri" w:hAnsi="Calibri"/>
                <w:b w:val="0"/>
                <w:color w:val="1F2937"/>
                <w:sz w:val="15"/>
              </w:rPr>
              <w:t>[NAME / ALT]</w:t>
            </w:r>
          </w:p>
        </w:tc>
        <w:tc>
          <w:tcPr>
            <w:tcW w:type="dxa" w:w="4248"/>
            <w:tcMar>
              <w:top w:w="80" w:type="dxa"/>
              <w:start w:w="110" w:type="dxa"/>
              <w:bottom w:w="80" w:type="dxa"/>
              <w:end w:w="110" w:type="dxa"/>
            </w:tcMar>
            <w:vAlign w:val="center"/>
          </w:tcPr>
          <w:p>
            <w:pPr>
              <w:widowControl/>
              <w:spacing w:after="0"/>
            </w:pPr>
            <w:r>
              <w:rPr>
                <w:rFonts w:ascii="Calibri" w:hAnsi="Calibri"/>
                <w:b w:val="0"/>
                <w:color w:val="1F2937"/>
                <w:sz w:val="15"/>
              </w:rPr>
              <w:t>Workarounds and service prioritisation</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5"/>
              </w:rPr>
              <w:t>[CONTACT]</w:t>
            </w:r>
          </w:p>
        </w:tc>
      </w:tr>
      <w:tr>
        <w:trPr>
          <w:cantSplit/>
        </w:trPr>
        <w:tc>
          <w:tcPr>
            <w:tcW w:type="dxa" w:w="1800"/>
            <w:tcMar>
              <w:top w:w="80" w:type="dxa"/>
              <w:start w:w="110" w:type="dxa"/>
              <w:bottom w:w="80" w:type="dxa"/>
              <w:end w:w="110" w:type="dxa"/>
            </w:tcMar>
            <w:vAlign w:val="center"/>
            <w:shd w:fill="F8FAFC"/>
          </w:tcPr>
          <w:p>
            <w:pPr>
              <w:widowControl/>
              <w:spacing w:after="0"/>
            </w:pPr>
            <w:r>
              <w:rPr>
                <w:rFonts w:ascii="Calibri" w:hAnsi="Calibri"/>
                <w:b/>
                <w:color w:val="1F4D78"/>
                <w:sz w:val="15"/>
              </w:rPr>
              <w:t>Compliance lead</w:t>
            </w:r>
          </w:p>
        </w:tc>
        <w:tc>
          <w:tcPr>
            <w:tcW w:type="dxa" w:w="2160"/>
            <w:tcMar>
              <w:top w:w="80" w:type="dxa"/>
              <w:start w:w="110" w:type="dxa"/>
              <w:bottom w:w="80" w:type="dxa"/>
              <w:end w:w="110" w:type="dxa"/>
            </w:tcMar>
            <w:vAlign w:val="center"/>
            <w:shd w:fill="F8FAFC"/>
          </w:tcPr>
          <w:p>
            <w:pPr>
              <w:widowControl/>
              <w:spacing w:after="0"/>
            </w:pPr>
            <w:r>
              <w:rPr>
                <w:rFonts w:ascii="Calibri" w:hAnsi="Calibri"/>
                <w:b w:val="0"/>
                <w:color w:val="1F2937"/>
                <w:sz w:val="15"/>
              </w:rPr>
              <w:t>[NAME / ALT]</w:t>
            </w:r>
          </w:p>
        </w:tc>
        <w:tc>
          <w:tcPr>
            <w:tcW w:type="dxa" w:w="4248"/>
            <w:tcMar>
              <w:top w:w="80" w:type="dxa"/>
              <w:start w:w="110" w:type="dxa"/>
              <w:bottom w:w="80" w:type="dxa"/>
              <w:end w:w="110" w:type="dxa"/>
            </w:tcMar>
            <w:vAlign w:val="center"/>
            <w:shd w:fill="F8FAFC"/>
          </w:tcPr>
          <w:p>
            <w:pPr>
              <w:widowControl/>
              <w:spacing w:after="0"/>
            </w:pPr>
            <w:r>
              <w:rPr>
                <w:rFonts w:ascii="Calibri" w:hAnsi="Calibri"/>
                <w:b w:val="0"/>
                <w:color w:val="1F2937"/>
                <w:sz w:val="15"/>
              </w:rPr>
              <w:t>DORA classification/reporting and regulator interface</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5"/>
              </w:rPr>
              <w:t>[CONTACT]</w:t>
            </w:r>
          </w:p>
        </w:tc>
      </w:tr>
      <w:tr>
        <w:trPr>
          <w:cantSplit/>
        </w:trPr>
        <w:tc>
          <w:tcPr>
            <w:tcW w:type="dxa" w:w="1800"/>
            <w:tcMar>
              <w:top w:w="80" w:type="dxa"/>
              <w:start w:w="110" w:type="dxa"/>
              <w:bottom w:w="80" w:type="dxa"/>
              <w:end w:w="110" w:type="dxa"/>
            </w:tcMar>
            <w:vAlign w:val="center"/>
          </w:tcPr>
          <w:p>
            <w:pPr>
              <w:widowControl/>
              <w:spacing w:after="0"/>
            </w:pPr>
            <w:r>
              <w:rPr>
                <w:rFonts w:ascii="Calibri" w:hAnsi="Calibri"/>
                <w:b/>
                <w:color w:val="1F4D78"/>
                <w:sz w:val="15"/>
              </w:rPr>
              <w:t>Communications lead</w:t>
            </w:r>
          </w:p>
        </w:tc>
        <w:tc>
          <w:tcPr>
            <w:tcW w:type="dxa" w:w="2160"/>
            <w:tcMar>
              <w:top w:w="80" w:type="dxa"/>
              <w:start w:w="110" w:type="dxa"/>
              <w:bottom w:w="80" w:type="dxa"/>
              <w:end w:w="110" w:type="dxa"/>
            </w:tcMar>
            <w:vAlign w:val="center"/>
          </w:tcPr>
          <w:p>
            <w:pPr>
              <w:widowControl/>
              <w:spacing w:after="0"/>
            </w:pPr>
            <w:r>
              <w:rPr>
                <w:rFonts w:ascii="Calibri" w:hAnsi="Calibri"/>
                <w:b w:val="0"/>
                <w:color w:val="1F2937"/>
                <w:sz w:val="15"/>
              </w:rPr>
              <w:t>[NAME / ALT]</w:t>
            </w:r>
          </w:p>
        </w:tc>
        <w:tc>
          <w:tcPr>
            <w:tcW w:type="dxa" w:w="4248"/>
            <w:tcMar>
              <w:top w:w="80" w:type="dxa"/>
              <w:start w:w="110" w:type="dxa"/>
              <w:bottom w:w="80" w:type="dxa"/>
              <w:end w:w="110" w:type="dxa"/>
            </w:tcMar>
            <w:vAlign w:val="center"/>
          </w:tcPr>
          <w:p>
            <w:pPr>
              <w:widowControl/>
              <w:spacing w:after="0"/>
            </w:pPr>
            <w:r>
              <w:rPr>
                <w:rFonts w:ascii="Calibri" w:hAnsi="Calibri"/>
                <w:b w:val="0"/>
                <w:color w:val="1F2937"/>
                <w:sz w:val="15"/>
              </w:rPr>
              <w:t>Staff, client, counterparty and public communication</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5"/>
              </w:rPr>
              <w:t>[CONTACT]</w:t>
            </w:r>
          </w:p>
        </w:tc>
      </w:tr>
      <w:tr>
        <w:trPr>
          <w:cantSplit/>
        </w:trPr>
        <w:tc>
          <w:tcPr>
            <w:tcW w:type="dxa" w:w="1800"/>
            <w:tcMar>
              <w:top w:w="80" w:type="dxa"/>
              <w:start w:w="110" w:type="dxa"/>
              <w:bottom w:w="80" w:type="dxa"/>
              <w:end w:w="110" w:type="dxa"/>
            </w:tcMar>
            <w:vAlign w:val="center"/>
            <w:shd w:fill="F8FAFC"/>
          </w:tcPr>
          <w:p>
            <w:pPr>
              <w:widowControl/>
              <w:spacing w:after="0"/>
            </w:pPr>
            <w:r>
              <w:rPr>
                <w:rFonts w:ascii="Calibri" w:hAnsi="Calibri"/>
                <w:b/>
                <w:color w:val="1F4D78"/>
                <w:sz w:val="15"/>
              </w:rPr>
              <w:t>Recorder</w:t>
            </w:r>
          </w:p>
        </w:tc>
        <w:tc>
          <w:tcPr>
            <w:tcW w:type="dxa" w:w="2160"/>
            <w:tcMar>
              <w:top w:w="80" w:type="dxa"/>
              <w:start w:w="110" w:type="dxa"/>
              <w:bottom w:w="80" w:type="dxa"/>
              <w:end w:w="110" w:type="dxa"/>
            </w:tcMar>
            <w:vAlign w:val="center"/>
            <w:shd w:fill="F8FAFC"/>
          </w:tcPr>
          <w:p>
            <w:pPr>
              <w:widowControl/>
              <w:spacing w:after="0"/>
            </w:pPr>
            <w:r>
              <w:rPr>
                <w:rFonts w:ascii="Calibri" w:hAnsi="Calibri"/>
                <w:b w:val="0"/>
                <w:color w:val="1F2937"/>
                <w:sz w:val="15"/>
              </w:rPr>
              <w:t>[NAME / ALT]</w:t>
            </w:r>
          </w:p>
        </w:tc>
        <w:tc>
          <w:tcPr>
            <w:tcW w:type="dxa" w:w="4248"/>
            <w:tcMar>
              <w:top w:w="80" w:type="dxa"/>
              <w:start w:w="110" w:type="dxa"/>
              <w:bottom w:w="80" w:type="dxa"/>
              <w:end w:w="110" w:type="dxa"/>
            </w:tcMar>
            <w:vAlign w:val="center"/>
            <w:shd w:fill="F8FAFC"/>
          </w:tcPr>
          <w:p>
            <w:pPr>
              <w:widowControl/>
              <w:spacing w:after="0"/>
            </w:pPr>
            <w:r>
              <w:rPr>
                <w:rFonts w:ascii="Calibri" w:hAnsi="Calibri"/>
                <w:b w:val="0"/>
                <w:color w:val="1F2937"/>
                <w:sz w:val="15"/>
              </w:rPr>
              <w:t>Decision log, actions, timestamps and evidence</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5"/>
              </w:rPr>
              <w:t>[CONTACT]</w:t>
            </w:r>
          </w:p>
        </w:tc>
      </w:tr>
    </w:tbl>
    <w:p>
      <w:pPr>
        <w:widowControl/>
        <w:spacing w:after="0"/>
      </w:pPr>
    </w:p>
    <w:p>
      <w:pPr>
        <w:pStyle w:val="DraftingNote"/>
        <w:widowControl/>
      </w:pPr>
      <w:r>
        <w:rPr>
          <w:rFonts w:ascii="Calibri" w:hAnsi="Calibri"/>
          <w:b/>
          <w:color w:val="1F4D78"/>
          <w:sz w:val="17"/>
        </w:rPr>
        <w:t xml:space="preserve">DRAFTING NOTE  </w:t>
      </w:r>
      <w:r>
        <w:t>Maintain secure offline access to current contacts. Do not include sensitive personal contact details in broadly distributed copies.</w:t>
      </w:r>
    </w:p>
    <w:p>
      <w:pPr>
        <w:pStyle w:val="Heading1"/>
        <w:widowControl/>
      </w:pPr>
      <w:r>
        <w:t>4. Business impact analysis and recovery objectives</w:t>
      </w:r>
    </w:p>
    <w:p>
      <w:pPr>
        <w:widowControl/>
      </w:pPr>
      <w:r>
        <w:t>Each critical or important function shall be supported by an approved BIA in the D05 Annexes workbook. RTO, RPO and MTPD values shall be business-owned, technically validated and reconciled with contractual service levels, backup design and dependency recovery times. A target is not credible where an upstream dependency has a slower target.</w:t>
      </w:r>
    </w:p>
    <w:tbl>
      <w:tblPr>
        <w:tblStyle w:val="TableGrid"/>
        <w:tblW w:type="auto" w:w="0"/>
        <w:jc w:val="center"/>
        <w:tblLayout w:type="fixed"/>
        <w:tblLook w:firstColumn="1" w:firstRow="1" w:lastColumn="0" w:lastRow="0" w:noHBand="0" w:noVBand="1" w:val="04A0"/>
      </w:tblPr>
      <w:tblGrid>
        <w:gridCol w:w="1728"/>
        <w:gridCol w:w="936"/>
        <w:gridCol w:w="864"/>
        <w:gridCol w:w="864"/>
        <w:gridCol w:w="1655"/>
        <w:gridCol w:w="2520"/>
        <w:gridCol w:w="1310"/>
      </w:tblGrid>
      <w:tr>
        <w:trPr>
          <w:tblHeader w:val="true"/>
        </w:trPr>
        <w:tc>
          <w:tcPr>
            <w:tcW w:type="dxa" w:w="1728"/>
            <w:shd w:fill="17365D"/>
            <w:tcMar>
              <w:top w:w="80" w:type="dxa"/>
              <w:start w:w="110" w:type="dxa"/>
              <w:bottom w:w="80" w:type="dxa"/>
              <w:end w:w="110" w:type="dxa"/>
            </w:tcMar>
            <w:vAlign w:val="center"/>
          </w:tcPr>
          <w:p>
            <w:pPr>
              <w:widowControl/>
            </w:pPr>
            <w:r>
              <w:rPr>
                <w:rFonts w:ascii="Calibri" w:hAnsi="Calibri"/>
                <w:b/>
                <w:color w:val="FFFFFF"/>
                <w:sz w:val="15"/>
              </w:rPr>
              <w:t>Function</w:t>
            </w:r>
          </w:p>
        </w:tc>
        <w:tc>
          <w:tcPr>
            <w:tcW w:type="dxa" w:w="936"/>
            <w:shd w:fill="17365D"/>
            <w:tcMar>
              <w:top w:w="80" w:type="dxa"/>
              <w:start w:w="110" w:type="dxa"/>
              <w:bottom w:w="80" w:type="dxa"/>
              <w:end w:w="110" w:type="dxa"/>
            </w:tcMar>
            <w:vAlign w:val="center"/>
          </w:tcPr>
          <w:p>
            <w:pPr>
              <w:widowControl/>
            </w:pPr>
            <w:r>
              <w:rPr>
                <w:rFonts w:ascii="Calibri" w:hAnsi="Calibri"/>
                <w:b/>
                <w:color w:val="FFFFFF"/>
                <w:sz w:val="15"/>
              </w:rPr>
              <w:t>MTPD</w:t>
            </w:r>
          </w:p>
        </w:tc>
        <w:tc>
          <w:tcPr>
            <w:tcW w:type="dxa" w:w="864"/>
            <w:shd w:fill="17365D"/>
            <w:tcMar>
              <w:top w:w="80" w:type="dxa"/>
              <w:start w:w="110" w:type="dxa"/>
              <w:bottom w:w="80" w:type="dxa"/>
              <w:end w:w="110" w:type="dxa"/>
            </w:tcMar>
            <w:vAlign w:val="center"/>
          </w:tcPr>
          <w:p>
            <w:pPr>
              <w:widowControl/>
            </w:pPr>
            <w:r>
              <w:rPr>
                <w:rFonts w:ascii="Calibri" w:hAnsi="Calibri"/>
                <w:b/>
                <w:color w:val="FFFFFF"/>
                <w:sz w:val="15"/>
              </w:rPr>
              <w:t>RTO</w:t>
            </w:r>
          </w:p>
        </w:tc>
        <w:tc>
          <w:tcPr>
            <w:tcW w:type="dxa" w:w="864"/>
            <w:shd w:fill="17365D"/>
            <w:tcMar>
              <w:top w:w="80" w:type="dxa"/>
              <w:start w:w="110" w:type="dxa"/>
              <w:bottom w:w="80" w:type="dxa"/>
              <w:end w:w="110" w:type="dxa"/>
            </w:tcMar>
            <w:vAlign w:val="center"/>
          </w:tcPr>
          <w:p>
            <w:pPr>
              <w:widowControl/>
            </w:pPr>
            <w:r>
              <w:rPr>
                <w:rFonts w:ascii="Calibri" w:hAnsi="Calibri"/>
                <w:b/>
                <w:color w:val="FFFFFF"/>
                <w:sz w:val="15"/>
              </w:rPr>
              <w:t>RPO</w:t>
            </w:r>
          </w:p>
        </w:tc>
        <w:tc>
          <w:tcPr>
            <w:tcW w:type="dxa" w:w="1655"/>
            <w:shd w:fill="17365D"/>
            <w:tcMar>
              <w:top w:w="80" w:type="dxa"/>
              <w:start w:w="110" w:type="dxa"/>
              <w:bottom w:w="80" w:type="dxa"/>
              <w:end w:w="110" w:type="dxa"/>
            </w:tcMar>
            <w:vAlign w:val="center"/>
          </w:tcPr>
          <w:p>
            <w:pPr>
              <w:widowControl/>
            </w:pPr>
            <w:r>
              <w:rPr>
                <w:rFonts w:ascii="Calibri" w:hAnsi="Calibri"/>
                <w:b/>
                <w:color w:val="FFFFFF"/>
                <w:sz w:val="15"/>
              </w:rPr>
              <w:t>Minimum service</w:t>
            </w:r>
          </w:p>
        </w:tc>
        <w:tc>
          <w:tcPr>
            <w:tcW w:type="dxa" w:w="2520"/>
            <w:shd w:fill="17365D"/>
            <w:tcMar>
              <w:top w:w="80" w:type="dxa"/>
              <w:start w:w="110" w:type="dxa"/>
              <w:bottom w:w="80" w:type="dxa"/>
              <w:end w:w="110" w:type="dxa"/>
            </w:tcMar>
            <w:vAlign w:val="center"/>
          </w:tcPr>
          <w:p>
            <w:pPr>
              <w:widowControl/>
            </w:pPr>
            <w:r>
              <w:rPr>
                <w:rFonts w:ascii="Calibri" w:hAnsi="Calibri"/>
                <w:b/>
                <w:color w:val="FFFFFF"/>
                <w:sz w:val="15"/>
              </w:rPr>
              <w:t>Critical dependencies</w:t>
            </w:r>
          </w:p>
        </w:tc>
        <w:tc>
          <w:tcPr>
            <w:tcW w:type="dxa" w:w="1310"/>
            <w:shd w:fill="17365D"/>
            <w:tcMar>
              <w:top w:w="80" w:type="dxa"/>
              <w:start w:w="110" w:type="dxa"/>
              <w:bottom w:w="80" w:type="dxa"/>
              <w:end w:w="110" w:type="dxa"/>
            </w:tcMar>
            <w:vAlign w:val="center"/>
          </w:tcPr>
          <w:p>
            <w:pPr>
              <w:widowControl/>
            </w:pPr>
            <w:r>
              <w:rPr>
                <w:rFonts w:ascii="Calibri" w:hAnsi="Calibri"/>
                <w:b/>
                <w:color w:val="FFFFFF"/>
                <w:sz w:val="15"/>
              </w:rPr>
              <w:t>Approved by</w:t>
            </w:r>
          </w:p>
        </w:tc>
      </w:tr>
      <w:tr>
        <w:trPr>
          <w:cantSplit/>
        </w:trPr>
        <w:tc>
          <w:tcPr>
            <w:tcW w:type="dxa" w:w="1728"/>
            <w:tcMar>
              <w:top w:w="80" w:type="dxa"/>
              <w:start w:w="110" w:type="dxa"/>
              <w:bottom w:w="80" w:type="dxa"/>
              <w:end w:w="110" w:type="dxa"/>
            </w:tcMar>
            <w:vAlign w:val="center"/>
          </w:tcPr>
          <w:p>
            <w:pPr>
              <w:widowControl/>
              <w:spacing w:after="0"/>
            </w:pPr>
            <w:r>
              <w:rPr>
                <w:rFonts w:ascii="Calibri" w:hAnsi="Calibri"/>
                <w:b w:val="0"/>
                <w:color w:val="1F2937"/>
                <w:sz w:val="15"/>
              </w:rPr>
              <w:t>[FUNCTION]</w:t>
            </w:r>
          </w:p>
        </w:tc>
        <w:tc>
          <w:tcPr>
            <w:tcW w:type="dxa" w:w="936"/>
            <w:tcMar>
              <w:top w:w="80" w:type="dxa"/>
              <w:start w:w="110" w:type="dxa"/>
              <w:bottom w:w="80" w:type="dxa"/>
              <w:end w:w="110" w:type="dxa"/>
            </w:tcMar>
            <w:vAlign w:val="center"/>
          </w:tcPr>
          <w:p>
            <w:pPr>
              <w:widowControl/>
              <w:spacing w:after="0"/>
            </w:pPr>
            <w:r>
              <w:rPr>
                <w:rFonts w:ascii="Calibri" w:hAnsi="Calibri"/>
                <w:b w:val="0"/>
                <w:color w:val="1F2937"/>
                <w:sz w:val="15"/>
              </w:rPr>
              <w:t>[TIME]</w:t>
            </w:r>
          </w:p>
        </w:tc>
        <w:tc>
          <w:tcPr>
            <w:tcW w:type="dxa" w:w="864"/>
            <w:tcMar>
              <w:top w:w="80" w:type="dxa"/>
              <w:start w:w="110" w:type="dxa"/>
              <w:bottom w:w="80" w:type="dxa"/>
              <w:end w:w="110" w:type="dxa"/>
            </w:tcMar>
            <w:vAlign w:val="center"/>
          </w:tcPr>
          <w:p>
            <w:pPr>
              <w:widowControl/>
              <w:spacing w:after="0"/>
            </w:pPr>
            <w:r>
              <w:rPr>
                <w:rFonts w:ascii="Calibri" w:hAnsi="Calibri"/>
                <w:b w:val="0"/>
                <w:color w:val="1F2937"/>
                <w:sz w:val="15"/>
              </w:rPr>
              <w:t>[TIME]</w:t>
            </w:r>
          </w:p>
        </w:tc>
        <w:tc>
          <w:tcPr>
            <w:tcW w:type="dxa" w:w="864"/>
            <w:tcMar>
              <w:top w:w="80" w:type="dxa"/>
              <w:start w:w="110" w:type="dxa"/>
              <w:bottom w:w="80" w:type="dxa"/>
              <w:end w:w="110" w:type="dxa"/>
            </w:tcMar>
            <w:vAlign w:val="center"/>
          </w:tcPr>
          <w:p>
            <w:pPr>
              <w:widowControl/>
              <w:spacing w:after="0"/>
            </w:pPr>
            <w:r>
              <w:rPr>
                <w:rFonts w:ascii="Calibri" w:hAnsi="Calibri"/>
                <w:b w:val="0"/>
                <w:color w:val="1F2937"/>
                <w:sz w:val="15"/>
              </w:rPr>
              <w:t>[TIME]</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5"/>
              </w:rPr>
              <w:t>[MINIMUM LEVEL]</w:t>
            </w:r>
          </w:p>
        </w:tc>
        <w:tc>
          <w:tcPr>
            <w:tcW w:type="dxa" w:w="2520"/>
            <w:tcMar>
              <w:top w:w="80" w:type="dxa"/>
              <w:start w:w="110" w:type="dxa"/>
              <w:bottom w:w="80" w:type="dxa"/>
              <w:end w:w="110" w:type="dxa"/>
            </w:tcMar>
            <w:vAlign w:val="center"/>
          </w:tcPr>
          <w:p>
            <w:pPr>
              <w:widowControl/>
              <w:spacing w:after="0"/>
            </w:pPr>
            <w:r>
              <w:rPr>
                <w:rFonts w:ascii="Calibri" w:hAnsi="Calibri"/>
                <w:b w:val="0"/>
                <w:color w:val="1F2937"/>
                <w:sz w:val="15"/>
              </w:rPr>
              <w:t>[SYSTEM / PEOPLE / PROVIDER / DATA]</w:t>
            </w:r>
          </w:p>
        </w:tc>
        <w:tc>
          <w:tcPr>
            <w:tcW w:type="dxa" w:w="1310"/>
            <w:tcMar>
              <w:top w:w="80" w:type="dxa"/>
              <w:start w:w="110" w:type="dxa"/>
              <w:bottom w:w="80" w:type="dxa"/>
              <w:end w:w="110" w:type="dxa"/>
            </w:tcMar>
            <w:vAlign w:val="center"/>
          </w:tcPr>
          <w:p>
            <w:pPr>
              <w:widowControl/>
              <w:spacing w:after="0"/>
            </w:pPr>
            <w:r>
              <w:rPr>
                <w:rFonts w:ascii="Calibri" w:hAnsi="Calibri"/>
                <w:b w:val="0"/>
                <w:color w:val="1F2937"/>
                <w:sz w:val="15"/>
              </w:rPr>
              <w:t>[OWNER / DATE]</w:t>
            </w:r>
          </w:p>
        </w:tc>
      </w:tr>
    </w:tbl>
    <w:p>
      <w:pPr>
        <w:widowControl/>
        <w:spacing w:after="0"/>
      </w:pPr>
    </w:p>
    <w:p>
      <w:pPr>
        <w:pStyle w:val="Heading1"/>
        <w:widowControl/>
      </w:pPr>
      <w:r>
        <w:t>5. Response and containment</w:t>
      </w:r>
    </w:p>
    <w:p>
      <w:pPr>
        <w:pStyle w:val="ListNumber"/>
        <w:widowControl/>
      </w:pPr>
      <w:r>
        <w:t>Establish a single decision and action log with reliable timestamps.</w:t>
      </w:r>
    </w:p>
    <w:p>
      <w:pPr>
        <w:pStyle w:val="ListNumber"/>
        <w:widowControl/>
      </w:pPr>
      <w:r>
        <w:t>Apply containment proportionate to safety, integrity, confidentiality, availability and evidence preservation.</w:t>
      </w:r>
    </w:p>
    <w:p>
      <w:pPr>
        <w:pStyle w:val="ListNumber"/>
        <w:widowControl/>
      </w:pPr>
      <w:r>
        <w:t>Assess whether containment itself disrupts a critical function and approve the trade-off.</w:t>
      </w:r>
    </w:p>
    <w:p>
      <w:pPr>
        <w:pStyle w:val="ListNumber"/>
        <w:widowControl/>
      </w:pPr>
      <w:r>
        <w:t>Coordinate with providers using contractual incident channels and escalation paths.</w:t>
      </w:r>
    </w:p>
    <w:p>
      <w:pPr>
        <w:pStyle w:val="ListNumber"/>
        <w:widowControl/>
      </w:pPr>
      <w:r>
        <w:t>Maintain separate clean communication channels if primary systems may be compromised.</w:t>
      </w:r>
    </w:p>
    <w:p>
      <w:pPr>
        <w:pStyle w:val="ListNumber"/>
        <w:widowControl/>
      </w:pPr>
      <w:r>
        <w:t>Reassess classification and reporting obligations as facts change.</w:t>
      </w:r>
    </w:p>
    <w:p>
      <w:pPr>
        <w:pStyle w:val="Heading1"/>
        <w:widowControl/>
      </w:pPr>
      <w:r>
        <w:t>6. Recovery strategy and sequencing</w:t>
      </w:r>
    </w:p>
    <w:tbl>
      <w:tblPr>
        <w:tblStyle w:val="TableGrid"/>
        <w:tblW w:type="auto" w:w="0"/>
        <w:jc w:val="center"/>
        <w:tblLayout w:type="fixed"/>
        <w:tblLook w:firstColumn="1" w:firstRow="1" w:lastColumn="0" w:lastRow="0" w:noHBand="0" w:noVBand="1" w:val="04A0"/>
      </w:tblPr>
      <w:tblGrid>
        <w:gridCol w:w="792"/>
        <w:gridCol w:w="3240"/>
        <w:gridCol w:w="2880"/>
        <w:gridCol w:w="2966"/>
      </w:tblGrid>
      <w:tr>
        <w:trPr>
          <w:tblHeader w:val="true"/>
        </w:trPr>
        <w:tc>
          <w:tcPr>
            <w:tcW w:type="dxa" w:w="792"/>
            <w:shd w:fill="17365D"/>
            <w:tcMar>
              <w:top w:w="80" w:type="dxa"/>
              <w:start w:w="110" w:type="dxa"/>
              <w:bottom w:w="80" w:type="dxa"/>
              <w:end w:w="110" w:type="dxa"/>
            </w:tcMar>
            <w:vAlign w:val="center"/>
          </w:tcPr>
          <w:p>
            <w:pPr>
              <w:widowControl/>
            </w:pPr>
            <w:r>
              <w:rPr>
                <w:rFonts w:ascii="Calibri" w:hAnsi="Calibri"/>
                <w:b/>
                <w:color w:val="FFFFFF"/>
                <w:sz w:val="15"/>
              </w:rPr>
              <w:t>Priority</w:t>
            </w:r>
          </w:p>
        </w:tc>
        <w:tc>
          <w:tcPr>
            <w:tcW w:type="dxa" w:w="3240"/>
            <w:shd w:fill="17365D"/>
            <w:tcMar>
              <w:top w:w="80" w:type="dxa"/>
              <w:start w:w="110" w:type="dxa"/>
              <w:bottom w:w="80" w:type="dxa"/>
              <w:end w:w="110" w:type="dxa"/>
            </w:tcMar>
            <w:vAlign w:val="center"/>
          </w:tcPr>
          <w:p>
            <w:pPr>
              <w:widowControl/>
            </w:pPr>
            <w:r>
              <w:rPr>
                <w:rFonts w:ascii="Calibri" w:hAnsi="Calibri"/>
                <w:b/>
                <w:color w:val="FFFFFF"/>
                <w:sz w:val="15"/>
              </w:rPr>
              <w:t>Recovery action</w:t>
            </w:r>
          </w:p>
        </w:tc>
        <w:tc>
          <w:tcPr>
            <w:tcW w:type="dxa" w:w="2880"/>
            <w:shd w:fill="17365D"/>
            <w:tcMar>
              <w:top w:w="80" w:type="dxa"/>
              <w:start w:w="110" w:type="dxa"/>
              <w:bottom w:w="80" w:type="dxa"/>
              <w:end w:w="110" w:type="dxa"/>
            </w:tcMar>
            <w:vAlign w:val="center"/>
          </w:tcPr>
          <w:p>
            <w:pPr>
              <w:widowControl/>
            </w:pPr>
            <w:r>
              <w:rPr>
                <w:rFonts w:ascii="Calibri" w:hAnsi="Calibri"/>
                <w:b/>
                <w:color w:val="FFFFFF"/>
                <w:sz w:val="15"/>
              </w:rPr>
              <w:t>Entry criteria</w:t>
            </w:r>
          </w:p>
        </w:tc>
        <w:tc>
          <w:tcPr>
            <w:tcW w:type="dxa" w:w="2966"/>
            <w:shd w:fill="17365D"/>
            <w:tcMar>
              <w:top w:w="80" w:type="dxa"/>
              <w:start w:w="110" w:type="dxa"/>
              <w:bottom w:w="80" w:type="dxa"/>
              <w:end w:w="110" w:type="dxa"/>
            </w:tcMar>
            <w:vAlign w:val="center"/>
          </w:tcPr>
          <w:p>
            <w:pPr>
              <w:widowControl/>
            </w:pPr>
            <w:r>
              <w:rPr>
                <w:rFonts w:ascii="Calibri" w:hAnsi="Calibri"/>
                <w:b/>
                <w:color w:val="FFFFFF"/>
                <w:sz w:val="15"/>
              </w:rPr>
              <w:t>Exit / validation criteria</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1</w:t>
            </w:r>
          </w:p>
        </w:tc>
        <w:tc>
          <w:tcPr>
            <w:tcW w:type="dxa" w:w="3240"/>
            <w:tcMar>
              <w:top w:w="80" w:type="dxa"/>
              <w:start w:w="110" w:type="dxa"/>
              <w:bottom w:w="80" w:type="dxa"/>
              <w:end w:w="110" w:type="dxa"/>
            </w:tcMar>
            <w:vAlign w:val="center"/>
          </w:tcPr>
          <w:p>
            <w:pPr>
              <w:widowControl/>
              <w:spacing w:after="0"/>
            </w:pPr>
            <w:r>
              <w:rPr>
                <w:rFonts w:ascii="Calibri" w:hAnsi="Calibri"/>
                <w:b w:val="0"/>
                <w:color w:val="1F2937"/>
                <w:sz w:val="15"/>
              </w:rPr>
              <w:t>Stabilise identity, communications, network and security monitoring</w:t>
            </w:r>
          </w:p>
        </w:tc>
        <w:tc>
          <w:tcPr>
            <w:tcW w:type="dxa" w:w="2880"/>
            <w:tcMar>
              <w:top w:w="80" w:type="dxa"/>
              <w:start w:w="110" w:type="dxa"/>
              <w:bottom w:w="80" w:type="dxa"/>
              <w:end w:w="110" w:type="dxa"/>
            </w:tcMar>
            <w:vAlign w:val="center"/>
          </w:tcPr>
          <w:p>
            <w:pPr>
              <w:widowControl/>
              <w:spacing w:after="0"/>
            </w:pPr>
            <w:r>
              <w:rPr>
                <w:rFonts w:ascii="Calibri" w:hAnsi="Calibri"/>
                <w:b w:val="0"/>
                <w:color w:val="1F2937"/>
                <w:sz w:val="15"/>
              </w:rPr>
              <w:t>Incident controlled enough to commence recovery</w:t>
            </w:r>
          </w:p>
        </w:tc>
        <w:tc>
          <w:tcPr>
            <w:tcW w:type="dxa" w:w="2966"/>
            <w:tcMar>
              <w:top w:w="80" w:type="dxa"/>
              <w:start w:w="110" w:type="dxa"/>
              <w:bottom w:w="80" w:type="dxa"/>
              <w:end w:w="110" w:type="dxa"/>
            </w:tcMar>
            <w:vAlign w:val="center"/>
          </w:tcPr>
          <w:p>
            <w:pPr>
              <w:widowControl/>
              <w:spacing w:after="0"/>
            </w:pPr>
            <w:r>
              <w:rPr>
                <w:rFonts w:ascii="Calibri" w:hAnsi="Calibri"/>
                <w:b w:val="0"/>
                <w:color w:val="1F2937"/>
                <w:sz w:val="15"/>
              </w:rPr>
              <w:t>Trusted administrative access and monitored environment</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2</w:t>
            </w:r>
          </w:p>
        </w:tc>
        <w:tc>
          <w:tcPr>
            <w:tcW w:type="dxa" w:w="3240"/>
            <w:tcMar>
              <w:top w:w="80" w:type="dxa"/>
              <w:start w:w="110" w:type="dxa"/>
              <w:bottom w:w="80" w:type="dxa"/>
              <w:end w:w="110" w:type="dxa"/>
            </w:tcMar>
            <w:vAlign w:val="center"/>
            <w:shd w:fill="F8FAFC"/>
          </w:tcPr>
          <w:p>
            <w:pPr>
              <w:widowControl/>
              <w:spacing w:after="0"/>
            </w:pPr>
            <w:r>
              <w:rPr>
                <w:rFonts w:ascii="Calibri" w:hAnsi="Calibri"/>
                <w:b w:val="0"/>
                <w:color w:val="1F2937"/>
                <w:sz w:val="15"/>
              </w:rPr>
              <w:t>Restore critical data and core platforms</w:t>
            </w:r>
          </w:p>
        </w:tc>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5"/>
              </w:rPr>
              <w:t>Known clean recovery point and available infrastructure</w:t>
            </w:r>
          </w:p>
        </w:tc>
        <w:tc>
          <w:tcPr>
            <w:tcW w:type="dxa" w:w="2966"/>
            <w:tcMar>
              <w:top w:w="80" w:type="dxa"/>
              <w:start w:w="110" w:type="dxa"/>
              <w:bottom w:w="80" w:type="dxa"/>
              <w:end w:w="110" w:type="dxa"/>
            </w:tcMar>
            <w:vAlign w:val="center"/>
            <w:shd w:fill="F8FAFC"/>
          </w:tcPr>
          <w:p>
            <w:pPr>
              <w:widowControl/>
              <w:spacing w:after="0"/>
            </w:pPr>
            <w:r>
              <w:rPr>
                <w:rFonts w:ascii="Calibri" w:hAnsi="Calibri"/>
                <w:b w:val="0"/>
                <w:color w:val="1F2937"/>
                <w:sz w:val="15"/>
              </w:rPr>
              <w:t>Integrity checks passed; RPO recorded</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3</w:t>
            </w:r>
          </w:p>
        </w:tc>
        <w:tc>
          <w:tcPr>
            <w:tcW w:type="dxa" w:w="3240"/>
            <w:tcMar>
              <w:top w:w="80" w:type="dxa"/>
              <w:start w:w="110" w:type="dxa"/>
              <w:bottom w:w="80" w:type="dxa"/>
              <w:end w:w="110" w:type="dxa"/>
            </w:tcMar>
            <w:vAlign w:val="center"/>
          </w:tcPr>
          <w:p>
            <w:pPr>
              <w:widowControl/>
              <w:spacing w:after="0"/>
            </w:pPr>
            <w:r>
              <w:rPr>
                <w:rFonts w:ascii="Calibri" w:hAnsi="Calibri"/>
                <w:b w:val="0"/>
                <w:color w:val="1F2937"/>
                <w:sz w:val="15"/>
              </w:rPr>
              <w:t>Restore client-facing and transaction functions</w:t>
            </w:r>
          </w:p>
        </w:tc>
        <w:tc>
          <w:tcPr>
            <w:tcW w:type="dxa" w:w="2880"/>
            <w:tcMar>
              <w:top w:w="80" w:type="dxa"/>
              <w:start w:w="110" w:type="dxa"/>
              <w:bottom w:w="80" w:type="dxa"/>
              <w:end w:w="110" w:type="dxa"/>
            </w:tcMar>
            <w:vAlign w:val="center"/>
          </w:tcPr>
          <w:p>
            <w:pPr>
              <w:widowControl/>
              <w:spacing w:after="0"/>
            </w:pPr>
            <w:r>
              <w:rPr>
                <w:rFonts w:ascii="Calibri" w:hAnsi="Calibri"/>
                <w:b w:val="0"/>
                <w:color w:val="1F2937"/>
                <w:sz w:val="15"/>
              </w:rPr>
              <w:t>Core services stable</w:t>
            </w:r>
          </w:p>
        </w:tc>
        <w:tc>
          <w:tcPr>
            <w:tcW w:type="dxa" w:w="2966"/>
            <w:tcMar>
              <w:top w:w="80" w:type="dxa"/>
              <w:start w:w="110" w:type="dxa"/>
              <w:bottom w:w="80" w:type="dxa"/>
              <w:end w:w="110" w:type="dxa"/>
            </w:tcMar>
            <w:vAlign w:val="center"/>
          </w:tcPr>
          <w:p>
            <w:pPr>
              <w:widowControl/>
              <w:spacing w:after="0"/>
            </w:pPr>
            <w:r>
              <w:rPr>
                <w:rFonts w:ascii="Calibri" w:hAnsi="Calibri"/>
                <w:b w:val="0"/>
                <w:color w:val="1F2937"/>
                <w:sz w:val="15"/>
              </w:rPr>
              <w:t>Business owner validates minimum service and RTO</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4</w:t>
            </w:r>
          </w:p>
        </w:tc>
        <w:tc>
          <w:tcPr>
            <w:tcW w:type="dxa" w:w="3240"/>
            <w:tcMar>
              <w:top w:w="80" w:type="dxa"/>
              <w:start w:w="110" w:type="dxa"/>
              <w:bottom w:w="80" w:type="dxa"/>
              <w:end w:w="110" w:type="dxa"/>
            </w:tcMar>
            <w:vAlign w:val="center"/>
            <w:shd w:fill="F8FAFC"/>
          </w:tcPr>
          <w:p>
            <w:pPr>
              <w:widowControl/>
              <w:spacing w:after="0"/>
            </w:pPr>
            <w:r>
              <w:rPr>
                <w:rFonts w:ascii="Calibri" w:hAnsi="Calibri"/>
                <w:b w:val="0"/>
                <w:color w:val="1F2937"/>
                <w:sz w:val="15"/>
              </w:rPr>
              <w:t>Restore supporting systems and integrations</w:t>
            </w:r>
          </w:p>
        </w:tc>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5"/>
              </w:rPr>
              <w:t>Critical services operating</w:t>
            </w:r>
          </w:p>
        </w:tc>
        <w:tc>
          <w:tcPr>
            <w:tcW w:type="dxa" w:w="2966"/>
            <w:tcMar>
              <w:top w:w="80" w:type="dxa"/>
              <w:start w:w="110" w:type="dxa"/>
              <w:bottom w:w="80" w:type="dxa"/>
              <w:end w:w="110" w:type="dxa"/>
            </w:tcMar>
            <w:vAlign w:val="center"/>
            <w:shd w:fill="F8FAFC"/>
          </w:tcPr>
          <w:p>
            <w:pPr>
              <w:widowControl/>
              <w:spacing w:after="0"/>
            </w:pPr>
            <w:r>
              <w:rPr>
                <w:rFonts w:ascii="Calibri" w:hAnsi="Calibri"/>
                <w:b w:val="0"/>
                <w:color w:val="1F2937"/>
                <w:sz w:val="15"/>
              </w:rPr>
              <w:t>Dependencies reconciled and backlogs controlled</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5</w:t>
            </w:r>
          </w:p>
        </w:tc>
        <w:tc>
          <w:tcPr>
            <w:tcW w:type="dxa" w:w="3240"/>
            <w:tcMar>
              <w:top w:w="80" w:type="dxa"/>
              <w:start w:w="110" w:type="dxa"/>
              <w:bottom w:w="80" w:type="dxa"/>
              <w:end w:w="110" w:type="dxa"/>
            </w:tcMar>
            <w:vAlign w:val="center"/>
          </w:tcPr>
          <w:p>
            <w:pPr>
              <w:widowControl/>
              <w:spacing w:after="0"/>
            </w:pPr>
            <w:r>
              <w:rPr>
                <w:rFonts w:ascii="Calibri" w:hAnsi="Calibri"/>
                <w:b w:val="0"/>
                <w:color w:val="1F2937"/>
                <w:sz w:val="15"/>
              </w:rPr>
              <w:t>Return to normal / remove workarounds</w:t>
            </w:r>
          </w:p>
        </w:tc>
        <w:tc>
          <w:tcPr>
            <w:tcW w:type="dxa" w:w="2880"/>
            <w:tcMar>
              <w:top w:w="80" w:type="dxa"/>
              <w:start w:w="110" w:type="dxa"/>
              <w:bottom w:w="80" w:type="dxa"/>
              <w:end w:w="110" w:type="dxa"/>
            </w:tcMar>
            <w:vAlign w:val="center"/>
          </w:tcPr>
          <w:p>
            <w:pPr>
              <w:widowControl/>
              <w:spacing w:after="0"/>
            </w:pPr>
            <w:r>
              <w:rPr>
                <w:rFonts w:ascii="Calibri" w:hAnsi="Calibri"/>
                <w:b w:val="0"/>
                <w:color w:val="1F2937"/>
                <w:sz w:val="15"/>
              </w:rPr>
              <w:t>Sustained stability and risk accepted</w:t>
            </w:r>
          </w:p>
        </w:tc>
        <w:tc>
          <w:tcPr>
            <w:tcW w:type="dxa" w:w="2966"/>
            <w:tcMar>
              <w:top w:w="80" w:type="dxa"/>
              <w:start w:w="110" w:type="dxa"/>
              <w:bottom w:w="80" w:type="dxa"/>
              <w:end w:w="110" w:type="dxa"/>
            </w:tcMar>
            <w:vAlign w:val="center"/>
          </w:tcPr>
          <w:p>
            <w:pPr>
              <w:widowControl/>
              <w:spacing w:after="0"/>
            </w:pPr>
            <w:r>
              <w:rPr>
                <w:rFonts w:ascii="Calibri" w:hAnsi="Calibri"/>
                <w:b w:val="0"/>
                <w:color w:val="1F2937"/>
                <w:sz w:val="15"/>
              </w:rPr>
              <w:t>Formal decision, communications and monitoring plan</w:t>
            </w:r>
          </w:p>
        </w:tc>
      </w:tr>
    </w:tbl>
    <w:p>
      <w:pPr>
        <w:widowControl/>
        <w:spacing w:after="0"/>
      </w:pPr>
    </w:p>
    <w:p>
      <w:pPr>
        <w:pStyle w:val="Heading1"/>
        <w:widowControl/>
      </w:pPr>
      <w:r>
        <w:t>7. Backup and restoration standard</w:t>
      </w:r>
    </w:p>
    <w:p>
      <w:pPr>
        <w:widowControl/>
      </w:pPr>
      <w:r>
        <w:t>Define scope, frequency, retention, encryption, separation, immutability/offline protection and ownership for each material dataset/system.</w:t>
      </w:r>
    </w:p>
    <w:p>
      <w:pPr>
        <w:widowControl/>
      </w:pPr>
      <w:r>
        <w:t>Monitor backup jobs and escalate failures against RPO and criticality.</w:t>
      </w:r>
    </w:p>
    <w:p>
      <w:pPr>
        <w:widowControl/>
      </w:pPr>
      <w:r>
        <w:t>Restrict and log backup administration.</w:t>
      </w:r>
    </w:p>
    <w:p>
      <w:pPr>
        <w:widowControl/>
      </w:pPr>
      <w:r>
        <w:t>Test representative restoration at least [FREQUENCY] and after material architecture change.</w:t>
      </w:r>
    </w:p>
    <w:p>
      <w:pPr>
        <w:widowControl/>
      </w:pPr>
      <w:r>
        <w:t>Validate recovered data for completeness, integrity, malware/compromise and usability.</w:t>
      </w:r>
    </w:p>
    <w:p>
      <w:pPr>
        <w:widowControl/>
      </w:pPr>
      <w:r>
        <w:t>Record actual recovery time, recovered point, deviations, findings and remediation in D08/D14.</w:t>
      </w:r>
    </w:p>
    <w:p>
      <w:pPr>
        <w:pStyle w:val="Heading1"/>
        <w:widowControl/>
      </w:pPr>
      <w:r>
        <w:t>8. Scenario playbooks</w:t>
      </w:r>
    </w:p>
    <w:p>
      <w:pPr>
        <w:pStyle w:val="Heading2"/>
        <w:widowControl/>
      </w:pPr>
      <w:r>
        <w:t>Cyber compromise / ransomware</w:t>
      </w:r>
    </w:p>
    <w:p>
      <w:pPr>
        <w:widowControl/>
      </w:pPr>
      <w:r>
        <w:t>Isolate affected assets; protect identity and backup planes; engage response support; determine clean recovery point; preserve evidence; assess data/client/regulatory impact.</w:t>
      </w:r>
    </w:p>
    <w:tbl>
      <w:tblPr>
        <w:tblStyle w:val="TableGrid"/>
        <w:tblW w:type="auto" w:w="0"/>
        <w:jc w:val="center"/>
        <w:tblLayout w:type="fixed"/>
        <w:tblLook w:firstColumn="1" w:firstRow="1" w:lastColumn="0" w:lastRow="0" w:noHBand="0" w:noVBand="1" w:val="04A0"/>
      </w:tblPr>
      <w:tblGrid>
        <w:gridCol w:w="1512"/>
        <w:gridCol w:w="3671"/>
        <w:gridCol w:w="2232"/>
        <w:gridCol w:w="246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3671"/>
            <w:shd w:fill="17365D"/>
            <w:tcMar>
              <w:top w:w="80" w:type="dxa"/>
              <w:start w:w="110" w:type="dxa"/>
              <w:bottom w:w="80" w:type="dxa"/>
              <w:end w:w="110" w:type="dxa"/>
            </w:tcMar>
            <w:vAlign w:val="center"/>
          </w:tcPr>
          <w:p>
            <w:pPr>
              <w:widowControl/>
            </w:pPr>
            <w:r>
              <w:rPr>
                <w:rFonts w:ascii="Calibri" w:hAnsi="Calibri"/>
                <w:b/>
                <w:color w:val="FFFFFF"/>
                <w:sz w:val="15"/>
              </w:rPr>
              <w:t>Immediate actions</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5"/>
              </w:rPr>
              <w:t>Dependencies</w:t>
            </w:r>
          </w:p>
        </w:tc>
        <w:tc>
          <w:tcPr>
            <w:tcW w:type="dxa" w:w="2462"/>
            <w:shd w:fill="17365D"/>
            <w:tcMar>
              <w:top w:w="80" w:type="dxa"/>
              <w:start w:w="110" w:type="dxa"/>
              <w:bottom w:w="80" w:type="dxa"/>
              <w:end w:w="110" w:type="dxa"/>
            </w:tcMar>
            <w:vAlign w:val="center"/>
          </w:tcPr>
          <w:p>
            <w:pPr>
              <w:widowControl/>
            </w:pPr>
            <w:r>
              <w:rPr>
                <w:rFonts w:ascii="Calibri" w:hAnsi="Calibri"/>
                <w:b/>
                <w:color w:val="FFFFFF"/>
                <w:sz w:val="15"/>
              </w:rPr>
              <w:t>Recovery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3671"/>
            <w:tcMar>
              <w:top w:w="80" w:type="dxa"/>
              <w:start w:w="110" w:type="dxa"/>
              <w:bottom w:w="80" w:type="dxa"/>
              <w:end w:w="110" w:type="dxa"/>
            </w:tcMar>
            <w:vAlign w:val="center"/>
          </w:tcPr>
          <w:p>
            <w:pPr>
              <w:widowControl/>
              <w:spacing w:after="0"/>
            </w:pPr>
            <w:r>
              <w:rPr>
                <w:rFonts w:ascii="Calibri" w:hAnsi="Calibri"/>
                <w:b w:val="0"/>
                <w:color w:val="1F2937"/>
                <w:sz w:val="15"/>
              </w:rPr>
              <w:t>[TAILOR ACTIONS]</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5"/>
              </w:rPr>
              <w:t>[LIST]</w:t>
            </w:r>
          </w:p>
        </w:tc>
        <w:tc>
          <w:tcPr>
            <w:tcW w:type="dxa" w:w="2462"/>
            <w:tcMar>
              <w:top w:w="80" w:type="dxa"/>
              <w:start w:w="110" w:type="dxa"/>
              <w:bottom w:w="80" w:type="dxa"/>
              <w:end w:w="110" w:type="dxa"/>
            </w:tcMar>
            <w:vAlign w:val="center"/>
          </w:tcPr>
          <w:p>
            <w:pPr>
              <w:widowControl/>
              <w:spacing w:after="0"/>
            </w:pPr>
            <w:r>
              <w:rPr>
                <w:rFonts w:ascii="Calibri" w:hAnsi="Calibri"/>
                <w:b w:val="0"/>
                <w:color w:val="1F2937"/>
                <w:sz w:val="15"/>
              </w:rPr>
              <w:t>[TEST / BUSINESS SIGN-OFF]</w:t>
            </w:r>
          </w:p>
        </w:tc>
      </w:tr>
    </w:tbl>
    <w:p>
      <w:pPr>
        <w:widowControl/>
        <w:spacing w:after="0"/>
      </w:pPr>
    </w:p>
    <w:p>
      <w:pPr>
        <w:pStyle w:val="Heading2"/>
        <w:widowControl/>
      </w:pPr>
      <w:r>
        <w:t>Critical SaaS / cloud outage</w:t>
      </w:r>
    </w:p>
    <w:p>
      <w:pPr>
        <w:widowControl/>
      </w:pPr>
      <w:r>
        <w:t>Escalate provider; assess multi-region or alternate channel; invoke manual workaround; monitor status; validate data consistency on restoration; consider exit trigger.</w:t>
      </w:r>
    </w:p>
    <w:tbl>
      <w:tblPr>
        <w:tblStyle w:val="TableGrid"/>
        <w:tblW w:type="auto" w:w="0"/>
        <w:jc w:val="center"/>
        <w:tblLayout w:type="fixed"/>
        <w:tblLook w:firstColumn="1" w:firstRow="1" w:lastColumn="0" w:lastRow="0" w:noHBand="0" w:noVBand="1" w:val="04A0"/>
      </w:tblPr>
      <w:tblGrid>
        <w:gridCol w:w="1512"/>
        <w:gridCol w:w="3671"/>
        <w:gridCol w:w="2232"/>
        <w:gridCol w:w="246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3671"/>
            <w:shd w:fill="17365D"/>
            <w:tcMar>
              <w:top w:w="80" w:type="dxa"/>
              <w:start w:w="110" w:type="dxa"/>
              <w:bottom w:w="80" w:type="dxa"/>
              <w:end w:w="110" w:type="dxa"/>
            </w:tcMar>
            <w:vAlign w:val="center"/>
          </w:tcPr>
          <w:p>
            <w:pPr>
              <w:widowControl/>
            </w:pPr>
            <w:r>
              <w:rPr>
                <w:rFonts w:ascii="Calibri" w:hAnsi="Calibri"/>
                <w:b/>
                <w:color w:val="FFFFFF"/>
                <w:sz w:val="15"/>
              </w:rPr>
              <w:t>Immediate actions</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5"/>
              </w:rPr>
              <w:t>Dependencies</w:t>
            </w:r>
          </w:p>
        </w:tc>
        <w:tc>
          <w:tcPr>
            <w:tcW w:type="dxa" w:w="2462"/>
            <w:shd w:fill="17365D"/>
            <w:tcMar>
              <w:top w:w="80" w:type="dxa"/>
              <w:start w:w="110" w:type="dxa"/>
              <w:bottom w:w="80" w:type="dxa"/>
              <w:end w:w="110" w:type="dxa"/>
            </w:tcMar>
            <w:vAlign w:val="center"/>
          </w:tcPr>
          <w:p>
            <w:pPr>
              <w:widowControl/>
            </w:pPr>
            <w:r>
              <w:rPr>
                <w:rFonts w:ascii="Calibri" w:hAnsi="Calibri"/>
                <w:b/>
                <w:color w:val="FFFFFF"/>
                <w:sz w:val="15"/>
              </w:rPr>
              <w:t>Recovery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3671"/>
            <w:tcMar>
              <w:top w:w="80" w:type="dxa"/>
              <w:start w:w="110" w:type="dxa"/>
              <w:bottom w:w="80" w:type="dxa"/>
              <w:end w:w="110" w:type="dxa"/>
            </w:tcMar>
            <w:vAlign w:val="center"/>
          </w:tcPr>
          <w:p>
            <w:pPr>
              <w:widowControl/>
              <w:spacing w:after="0"/>
            </w:pPr>
            <w:r>
              <w:rPr>
                <w:rFonts w:ascii="Calibri" w:hAnsi="Calibri"/>
                <w:b w:val="0"/>
                <w:color w:val="1F2937"/>
                <w:sz w:val="15"/>
              </w:rPr>
              <w:t>[TAILOR ACTIONS]</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5"/>
              </w:rPr>
              <w:t>[LIST]</w:t>
            </w:r>
          </w:p>
        </w:tc>
        <w:tc>
          <w:tcPr>
            <w:tcW w:type="dxa" w:w="2462"/>
            <w:tcMar>
              <w:top w:w="80" w:type="dxa"/>
              <w:start w:w="110" w:type="dxa"/>
              <w:bottom w:w="80" w:type="dxa"/>
              <w:end w:w="110" w:type="dxa"/>
            </w:tcMar>
            <w:vAlign w:val="center"/>
          </w:tcPr>
          <w:p>
            <w:pPr>
              <w:widowControl/>
              <w:spacing w:after="0"/>
            </w:pPr>
            <w:r>
              <w:rPr>
                <w:rFonts w:ascii="Calibri" w:hAnsi="Calibri"/>
                <w:b w:val="0"/>
                <w:color w:val="1F2937"/>
                <w:sz w:val="15"/>
              </w:rPr>
              <w:t>[TEST / BUSINESS SIGN-OFF]</w:t>
            </w:r>
          </w:p>
        </w:tc>
      </w:tr>
    </w:tbl>
    <w:p>
      <w:pPr>
        <w:widowControl/>
        <w:spacing w:after="0"/>
      </w:pPr>
    </w:p>
    <w:p>
      <w:pPr>
        <w:pStyle w:val="Heading2"/>
        <w:widowControl/>
      </w:pPr>
      <w:r>
        <w:t>Data corruption or loss</w:t>
      </w:r>
    </w:p>
    <w:p>
      <w:pPr>
        <w:widowControl/>
      </w:pPr>
      <w:r>
        <w:t>Stop propagation; preserve affected copies; identify last known good state; restore to controlled environment; reconcile transactions and records; obtain business sign-off.</w:t>
      </w:r>
    </w:p>
    <w:tbl>
      <w:tblPr>
        <w:tblStyle w:val="TableGrid"/>
        <w:tblW w:type="auto" w:w="0"/>
        <w:jc w:val="center"/>
        <w:tblLayout w:type="fixed"/>
        <w:tblLook w:firstColumn="1" w:firstRow="1" w:lastColumn="0" w:lastRow="0" w:noHBand="0" w:noVBand="1" w:val="04A0"/>
      </w:tblPr>
      <w:tblGrid>
        <w:gridCol w:w="1512"/>
        <w:gridCol w:w="3671"/>
        <w:gridCol w:w="2232"/>
        <w:gridCol w:w="246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3671"/>
            <w:shd w:fill="17365D"/>
            <w:tcMar>
              <w:top w:w="80" w:type="dxa"/>
              <w:start w:w="110" w:type="dxa"/>
              <w:bottom w:w="80" w:type="dxa"/>
              <w:end w:w="110" w:type="dxa"/>
            </w:tcMar>
            <w:vAlign w:val="center"/>
          </w:tcPr>
          <w:p>
            <w:pPr>
              <w:widowControl/>
            </w:pPr>
            <w:r>
              <w:rPr>
                <w:rFonts w:ascii="Calibri" w:hAnsi="Calibri"/>
                <w:b/>
                <w:color w:val="FFFFFF"/>
                <w:sz w:val="15"/>
              </w:rPr>
              <w:t>Immediate actions</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5"/>
              </w:rPr>
              <w:t>Dependencies</w:t>
            </w:r>
          </w:p>
        </w:tc>
        <w:tc>
          <w:tcPr>
            <w:tcW w:type="dxa" w:w="2462"/>
            <w:shd w:fill="17365D"/>
            <w:tcMar>
              <w:top w:w="80" w:type="dxa"/>
              <w:start w:w="110" w:type="dxa"/>
              <w:bottom w:w="80" w:type="dxa"/>
              <w:end w:w="110" w:type="dxa"/>
            </w:tcMar>
            <w:vAlign w:val="center"/>
          </w:tcPr>
          <w:p>
            <w:pPr>
              <w:widowControl/>
            </w:pPr>
            <w:r>
              <w:rPr>
                <w:rFonts w:ascii="Calibri" w:hAnsi="Calibri"/>
                <w:b/>
                <w:color w:val="FFFFFF"/>
                <w:sz w:val="15"/>
              </w:rPr>
              <w:t>Recovery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3671"/>
            <w:tcMar>
              <w:top w:w="80" w:type="dxa"/>
              <w:start w:w="110" w:type="dxa"/>
              <w:bottom w:w="80" w:type="dxa"/>
              <w:end w:w="110" w:type="dxa"/>
            </w:tcMar>
            <w:vAlign w:val="center"/>
          </w:tcPr>
          <w:p>
            <w:pPr>
              <w:widowControl/>
              <w:spacing w:after="0"/>
            </w:pPr>
            <w:r>
              <w:rPr>
                <w:rFonts w:ascii="Calibri" w:hAnsi="Calibri"/>
                <w:b w:val="0"/>
                <w:color w:val="1F2937"/>
                <w:sz w:val="15"/>
              </w:rPr>
              <w:t>[TAILOR ACTIONS]</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5"/>
              </w:rPr>
              <w:t>[LIST]</w:t>
            </w:r>
          </w:p>
        </w:tc>
        <w:tc>
          <w:tcPr>
            <w:tcW w:type="dxa" w:w="2462"/>
            <w:tcMar>
              <w:top w:w="80" w:type="dxa"/>
              <w:start w:w="110" w:type="dxa"/>
              <w:bottom w:w="80" w:type="dxa"/>
              <w:end w:w="110" w:type="dxa"/>
            </w:tcMar>
            <w:vAlign w:val="center"/>
          </w:tcPr>
          <w:p>
            <w:pPr>
              <w:widowControl/>
              <w:spacing w:after="0"/>
            </w:pPr>
            <w:r>
              <w:rPr>
                <w:rFonts w:ascii="Calibri" w:hAnsi="Calibri"/>
                <w:b w:val="0"/>
                <w:color w:val="1F2937"/>
                <w:sz w:val="15"/>
              </w:rPr>
              <w:t>[TEST / BUSINESS SIGN-OFF]</w:t>
            </w:r>
          </w:p>
        </w:tc>
      </w:tr>
    </w:tbl>
    <w:p>
      <w:pPr>
        <w:widowControl/>
        <w:spacing w:after="0"/>
      </w:pPr>
    </w:p>
    <w:p>
      <w:pPr>
        <w:pStyle w:val="Heading2"/>
        <w:widowControl/>
      </w:pPr>
      <w:r>
        <w:t>Premises / power unavailable</w:t>
      </w:r>
    </w:p>
    <w:p>
      <w:pPr>
        <w:widowControl/>
      </w:pPr>
      <w:r>
        <w:t>Account for personnel; activate remote/alternate work; redirect communications; secure physical assets; prioritise critical teams and access.</w:t>
      </w:r>
    </w:p>
    <w:tbl>
      <w:tblPr>
        <w:tblStyle w:val="TableGrid"/>
        <w:tblW w:type="auto" w:w="0"/>
        <w:jc w:val="center"/>
        <w:tblLayout w:type="fixed"/>
        <w:tblLook w:firstColumn="1" w:firstRow="1" w:lastColumn="0" w:lastRow="0" w:noHBand="0" w:noVBand="1" w:val="04A0"/>
      </w:tblPr>
      <w:tblGrid>
        <w:gridCol w:w="1512"/>
        <w:gridCol w:w="3671"/>
        <w:gridCol w:w="2232"/>
        <w:gridCol w:w="246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3671"/>
            <w:shd w:fill="17365D"/>
            <w:tcMar>
              <w:top w:w="80" w:type="dxa"/>
              <w:start w:w="110" w:type="dxa"/>
              <w:bottom w:w="80" w:type="dxa"/>
              <w:end w:w="110" w:type="dxa"/>
            </w:tcMar>
            <w:vAlign w:val="center"/>
          </w:tcPr>
          <w:p>
            <w:pPr>
              <w:widowControl/>
            </w:pPr>
            <w:r>
              <w:rPr>
                <w:rFonts w:ascii="Calibri" w:hAnsi="Calibri"/>
                <w:b/>
                <w:color w:val="FFFFFF"/>
                <w:sz w:val="15"/>
              </w:rPr>
              <w:t>Immediate actions</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5"/>
              </w:rPr>
              <w:t>Dependencies</w:t>
            </w:r>
          </w:p>
        </w:tc>
        <w:tc>
          <w:tcPr>
            <w:tcW w:type="dxa" w:w="2462"/>
            <w:shd w:fill="17365D"/>
            <w:tcMar>
              <w:top w:w="80" w:type="dxa"/>
              <w:start w:w="110" w:type="dxa"/>
              <w:bottom w:w="80" w:type="dxa"/>
              <w:end w:w="110" w:type="dxa"/>
            </w:tcMar>
            <w:vAlign w:val="center"/>
          </w:tcPr>
          <w:p>
            <w:pPr>
              <w:widowControl/>
            </w:pPr>
            <w:r>
              <w:rPr>
                <w:rFonts w:ascii="Calibri" w:hAnsi="Calibri"/>
                <w:b/>
                <w:color w:val="FFFFFF"/>
                <w:sz w:val="15"/>
              </w:rPr>
              <w:t>Recovery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3671"/>
            <w:tcMar>
              <w:top w:w="80" w:type="dxa"/>
              <w:start w:w="110" w:type="dxa"/>
              <w:bottom w:w="80" w:type="dxa"/>
              <w:end w:w="110" w:type="dxa"/>
            </w:tcMar>
            <w:vAlign w:val="center"/>
          </w:tcPr>
          <w:p>
            <w:pPr>
              <w:widowControl/>
              <w:spacing w:after="0"/>
            </w:pPr>
            <w:r>
              <w:rPr>
                <w:rFonts w:ascii="Calibri" w:hAnsi="Calibri"/>
                <w:b w:val="0"/>
                <w:color w:val="1F2937"/>
                <w:sz w:val="15"/>
              </w:rPr>
              <w:t>[TAILOR ACTIONS]</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5"/>
              </w:rPr>
              <w:t>[LIST]</w:t>
            </w:r>
          </w:p>
        </w:tc>
        <w:tc>
          <w:tcPr>
            <w:tcW w:type="dxa" w:w="2462"/>
            <w:tcMar>
              <w:top w:w="80" w:type="dxa"/>
              <w:start w:w="110" w:type="dxa"/>
              <w:bottom w:w="80" w:type="dxa"/>
              <w:end w:w="110" w:type="dxa"/>
            </w:tcMar>
            <w:vAlign w:val="center"/>
          </w:tcPr>
          <w:p>
            <w:pPr>
              <w:widowControl/>
              <w:spacing w:after="0"/>
            </w:pPr>
            <w:r>
              <w:rPr>
                <w:rFonts w:ascii="Calibri" w:hAnsi="Calibri"/>
                <w:b w:val="0"/>
                <w:color w:val="1F2937"/>
                <w:sz w:val="15"/>
              </w:rPr>
              <w:t>[TEST / BUSINESS SIGN-OFF]</w:t>
            </w:r>
          </w:p>
        </w:tc>
      </w:tr>
    </w:tbl>
    <w:p>
      <w:pPr>
        <w:widowControl/>
        <w:spacing w:after="0"/>
      </w:pPr>
    </w:p>
    <w:p>
      <w:pPr>
        <w:pStyle w:val="Heading2"/>
        <w:widowControl/>
      </w:pPr>
      <w:r>
        <w:t>Key-person / workforce disruption</w:t>
      </w:r>
    </w:p>
    <w:p>
      <w:pPr>
        <w:widowControl/>
      </w:pPr>
      <w:r>
        <w:t>Activate deputies; prioritise minimum service; defer non-critical work; obtain approved contractor/provider support; monitor workload and errors.</w:t>
      </w:r>
    </w:p>
    <w:tbl>
      <w:tblPr>
        <w:tblStyle w:val="TableGrid"/>
        <w:tblW w:type="auto" w:w="0"/>
        <w:jc w:val="center"/>
        <w:tblLayout w:type="fixed"/>
        <w:tblLook w:firstColumn="1" w:firstRow="1" w:lastColumn="0" w:lastRow="0" w:noHBand="0" w:noVBand="1" w:val="04A0"/>
      </w:tblPr>
      <w:tblGrid>
        <w:gridCol w:w="1512"/>
        <w:gridCol w:w="3671"/>
        <w:gridCol w:w="2232"/>
        <w:gridCol w:w="246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3671"/>
            <w:shd w:fill="17365D"/>
            <w:tcMar>
              <w:top w:w="80" w:type="dxa"/>
              <w:start w:w="110" w:type="dxa"/>
              <w:bottom w:w="80" w:type="dxa"/>
              <w:end w:w="110" w:type="dxa"/>
            </w:tcMar>
            <w:vAlign w:val="center"/>
          </w:tcPr>
          <w:p>
            <w:pPr>
              <w:widowControl/>
            </w:pPr>
            <w:r>
              <w:rPr>
                <w:rFonts w:ascii="Calibri" w:hAnsi="Calibri"/>
                <w:b/>
                <w:color w:val="FFFFFF"/>
                <w:sz w:val="15"/>
              </w:rPr>
              <w:t>Immediate actions</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5"/>
              </w:rPr>
              <w:t>Dependencies</w:t>
            </w:r>
          </w:p>
        </w:tc>
        <w:tc>
          <w:tcPr>
            <w:tcW w:type="dxa" w:w="2462"/>
            <w:shd w:fill="17365D"/>
            <w:tcMar>
              <w:top w:w="80" w:type="dxa"/>
              <w:start w:w="110" w:type="dxa"/>
              <w:bottom w:w="80" w:type="dxa"/>
              <w:end w:w="110" w:type="dxa"/>
            </w:tcMar>
            <w:vAlign w:val="center"/>
          </w:tcPr>
          <w:p>
            <w:pPr>
              <w:widowControl/>
            </w:pPr>
            <w:r>
              <w:rPr>
                <w:rFonts w:ascii="Calibri" w:hAnsi="Calibri"/>
                <w:b/>
                <w:color w:val="FFFFFF"/>
                <w:sz w:val="15"/>
              </w:rPr>
              <w:t>Recovery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3671"/>
            <w:tcMar>
              <w:top w:w="80" w:type="dxa"/>
              <w:start w:w="110" w:type="dxa"/>
              <w:bottom w:w="80" w:type="dxa"/>
              <w:end w:w="110" w:type="dxa"/>
            </w:tcMar>
            <w:vAlign w:val="center"/>
          </w:tcPr>
          <w:p>
            <w:pPr>
              <w:widowControl/>
              <w:spacing w:after="0"/>
            </w:pPr>
            <w:r>
              <w:rPr>
                <w:rFonts w:ascii="Calibri" w:hAnsi="Calibri"/>
                <w:b w:val="0"/>
                <w:color w:val="1F2937"/>
                <w:sz w:val="15"/>
              </w:rPr>
              <w:t>[TAILOR ACTIONS]</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5"/>
              </w:rPr>
              <w:t>[LIST]</w:t>
            </w:r>
          </w:p>
        </w:tc>
        <w:tc>
          <w:tcPr>
            <w:tcW w:type="dxa" w:w="2462"/>
            <w:tcMar>
              <w:top w:w="80" w:type="dxa"/>
              <w:start w:w="110" w:type="dxa"/>
              <w:bottom w:w="80" w:type="dxa"/>
              <w:end w:w="110" w:type="dxa"/>
            </w:tcMar>
            <w:vAlign w:val="center"/>
          </w:tcPr>
          <w:p>
            <w:pPr>
              <w:widowControl/>
              <w:spacing w:after="0"/>
            </w:pPr>
            <w:r>
              <w:rPr>
                <w:rFonts w:ascii="Calibri" w:hAnsi="Calibri"/>
                <w:b w:val="0"/>
                <w:color w:val="1F2937"/>
                <w:sz w:val="15"/>
              </w:rPr>
              <w:t>[TEST / BUSINESS SIGN-OFF]</w:t>
            </w:r>
          </w:p>
        </w:tc>
      </w:tr>
    </w:tbl>
    <w:p>
      <w:pPr>
        <w:widowControl/>
        <w:spacing w:after="0"/>
      </w:pPr>
    </w:p>
    <w:p>
      <w:pPr>
        <w:pStyle w:val="Heading2"/>
        <w:widowControl/>
      </w:pPr>
      <w:r>
        <w:t>Telecom / connectivity failure</w:t>
      </w:r>
    </w:p>
    <w:p>
      <w:pPr>
        <w:widowControl/>
      </w:pPr>
      <w:r>
        <w:t>Use alternate connectivity/communications; restrict high-risk transactions if verification is impaired; coordinate provider restoration; log manual decisions.</w:t>
      </w:r>
    </w:p>
    <w:tbl>
      <w:tblPr>
        <w:tblStyle w:val="TableGrid"/>
        <w:tblW w:type="auto" w:w="0"/>
        <w:jc w:val="center"/>
        <w:tblLayout w:type="fixed"/>
        <w:tblLook w:firstColumn="1" w:firstRow="1" w:lastColumn="0" w:lastRow="0" w:noHBand="0" w:noVBand="1" w:val="04A0"/>
      </w:tblPr>
      <w:tblGrid>
        <w:gridCol w:w="1512"/>
        <w:gridCol w:w="3671"/>
        <w:gridCol w:w="2232"/>
        <w:gridCol w:w="246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3671"/>
            <w:shd w:fill="17365D"/>
            <w:tcMar>
              <w:top w:w="80" w:type="dxa"/>
              <w:start w:w="110" w:type="dxa"/>
              <w:bottom w:w="80" w:type="dxa"/>
              <w:end w:w="110" w:type="dxa"/>
            </w:tcMar>
            <w:vAlign w:val="center"/>
          </w:tcPr>
          <w:p>
            <w:pPr>
              <w:widowControl/>
            </w:pPr>
            <w:r>
              <w:rPr>
                <w:rFonts w:ascii="Calibri" w:hAnsi="Calibri"/>
                <w:b/>
                <w:color w:val="FFFFFF"/>
                <w:sz w:val="15"/>
              </w:rPr>
              <w:t>Immediate actions</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5"/>
              </w:rPr>
              <w:t>Dependencies</w:t>
            </w:r>
          </w:p>
        </w:tc>
        <w:tc>
          <w:tcPr>
            <w:tcW w:type="dxa" w:w="2462"/>
            <w:shd w:fill="17365D"/>
            <w:tcMar>
              <w:top w:w="80" w:type="dxa"/>
              <w:start w:w="110" w:type="dxa"/>
              <w:bottom w:w="80" w:type="dxa"/>
              <w:end w:w="110" w:type="dxa"/>
            </w:tcMar>
            <w:vAlign w:val="center"/>
          </w:tcPr>
          <w:p>
            <w:pPr>
              <w:widowControl/>
            </w:pPr>
            <w:r>
              <w:rPr>
                <w:rFonts w:ascii="Calibri" w:hAnsi="Calibri"/>
                <w:b/>
                <w:color w:val="FFFFFF"/>
                <w:sz w:val="15"/>
              </w:rPr>
              <w:t>Recovery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3671"/>
            <w:tcMar>
              <w:top w:w="80" w:type="dxa"/>
              <w:start w:w="110" w:type="dxa"/>
              <w:bottom w:w="80" w:type="dxa"/>
              <w:end w:w="110" w:type="dxa"/>
            </w:tcMar>
            <w:vAlign w:val="center"/>
          </w:tcPr>
          <w:p>
            <w:pPr>
              <w:widowControl/>
              <w:spacing w:after="0"/>
            </w:pPr>
            <w:r>
              <w:rPr>
                <w:rFonts w:ascii="Calibri" w:hAnsi="Calibri"/>
                <w:b w:val="0"/>
                <w:color w:val="1F2937"/>
                <w:sz w:val="15"/>
              </w:rPr>
              <w:t>[TAILOR ACTIONS]</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5"/>
              </w:rPr>
              <w:t>[LIST]</w:t>
            </w:r>
          </w:p>
        </w:tc>
        <w:tc>
          <w:tcPr>
            <w:tcW w:type="dxa" w:w="2462"/>
            <w:tcMar>
              <w:top w:w="80" w:type="dxa"/>
              <w:start w:w="110" w:type="dxa"/>
              <w:bottom w:w="80" w:type="dxa"/>
              <w:end w:w="110" w:type="dxa"/>
            </w:tcMar>
            <w:vAlign w:val="center"/>
          </w:tcPr>
          <w:p>
            <w:pPr>
              <w:widowControl/>
              <w:spacing w:after="0"/>
            </w:pPr>
            <w:r>
              <w:rPr>
                <w:rFonts w:ascii="Calibri" w:hAnsi="Calibri"/>
                <w:b w:val="0"/>
                <w:color w:val="1F2937"/>
                <w:sz w:val="15"/>
              </w:rPr>
              <w:t>[TEST / BUSINESS SIGN-OFF]</w:t>
            </w:r>
          </w:p>
        </w:tc>
      </w:tr>
    </w:tbl>
    <w:p>
      <w:pPr>
        <w:widowControl/>
        <w:spacing w:after="0"/>
      </w:pPr>
    </w:p>
    <w:p>
      <w:pPr>
        <w:pStyle w:val="Heading1"/>
        <w:widowControl/>
      </w:pPr>
      <w:r>
        <w:t>9. Communications and regulatory interface</w:t>
      </w:r>
    </w:p>
    <w:tbl>
      <w:tblPr>
        <w:tblStyle w:val="TableGrid"/>
        <w:tblW w:type="auto" w:w="0"/>
        <w:jc w:val="center"/>
        <w:tblLayout w:type="fixed"/>
        <w:tblLook w:firstColumn="1" w:firstRow="1" w:lastColumn="0" w:lastRow="0" w:noHBand="0" w:noVBand="1" w:val="04A0"/>
      </w:tblPr>
      <w:tblGrid>
        <w:gridCol w:w="1872"/>
        <w:gridCol w:w="3456"/>
        <w:gridCol w:w="1584"/>
        <w:gridCol w:w="2966"/>
      </w:tblGrid>
      <w:tr>
        <w:trPr>
          <w:tblHeader w:val="true"/>
        </w:trPr>
        <w:tc>
          <w:tcPr>
            <w:tcW w:type="dxa" w:w="1872"/>
            <w:shd w:fill="17365D"/>
            <w:tcMar>
              <w:top w:w="80" w:type="dxa"/>
              <w:start w:w="110" w:type="dxa"/>
              <w:bottom w:w="80" w:type="dxa"/>
              <w:end w:w="110" w:type="dxa"/>
            </w:tcMar>
            <w:vAlign w:val="center"/>
          </w:tcPr>
          <w:p>
            <w:pPr>
              <w:widowControl/>
            </w:pPr>
            <w:r>
              <w:rPr>
                <w:rFonts w:ascii="Calibri" w:hAnsi="Calibri"/>
                <w:b/>
                <w:color w:val="FFFFFF"/>
                <w:sz w:val="15"/>
              </w:rPr>
              <w:t>Audience</w:t>
            </w:r>
          </w:p>
        </w:tc>
        <w:tc>
          <w:tcPr>
            <w:tcW w:type="dxa" w:w="3456"/>
            <w:shd w:fill="17365D"/>
            <w:tcMar>
              <w:top w:w="80" w:type="dxa"/>
              <w:start w:w="110" w:type="dxa"/>
              <w:bottom w:w="80" w:type="dxa"/>
              <w:end w:w="110" w:type="dxa"/>
            </w:tcMar>
            <w:vAlign w:val="center"/>
          </w:tcPr>
          <w:p>
            <w:pPr>
              <w:widowControl/>
            </w:pPr>
            <w:r>
              <w:rPr>
                <w:rFonts w:ascii="Calibri" w:hAnsi="Calibri"/>
                <w:b/>
                <w:color w:val="FFFFFF"/>
                <w:sz w:val="15"/>
              </w:rPr>
              <w:t>Trigger</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5"/>
              </w:rPr>
              <w:t>Owner</w:t>
            </w:r>
          </w:p>
        </w:tc>
        <w:tc>
          <w:tcPr>
            <w:tcW w:type="dxa" w:w="2966"/>
            <w:shd w:fill="17365D"/>
            <w:tcMar>
              <w:top w:w="80" w:type="dxa"/>
              <w:start w:w="110" w:type="dxa"/>
              <w:bottom w:w="80" w:type="dxa"/>
              <w:end w:w="110" w:type="dxa"/>
            </w:tcMar>
            <w:vAlign w:val="center"/>
          </w:tcPr>
          <w:p>
            <w:pPr>
              <w:widowControl/>
            </w:pPr>
            <w:r>
              <w:rPr>
                <w:rFonts w:ascii="Calibri" w:hAnsi="Calibri"/>
                <w:b/>
                <w:color w:val="FFFFFF"/>
                <w:sz w:val="15"/>
              </w:rPr>
              <w:t>Approved channel / message</w:t>
            </w:r>
          </w:p>
        </w:tc>
      </w:tr>
      <w:tr>
        <w:trPr>
          <w:cantSplit/>
        </w:trPr>
        <w:tc>
          <w:tcPr>
            <w:tcW w:type="dxa" w:w="1872"/>
            <w:tcMar>
              <w:top w:w="80" w:type="dxa"/>
              <w:start w:w="110" w:type="dxa"/>
              <w:bottom w:w="80" w:type="dxa"/>
              <w:end w:w="110" w:type="dxa"/>
            </w:tcMar>
            <w:vAlign w:val="center"/>
          </w:tcPr>
          <w:p>
            <w:pPr>
              <w:widowControl/>
              <w:spacing w:after="0"/>
            </w:pPr>
            <w:r>
              <w:rPr>
                <w:rFonts w:ascii="Calibri" w:hAnsi="Calibri"/>
                <w:b/>
                <w:color w:val="1F4D78"/>
                <w:sz w:val="15"/>
              </w:rPr>
              <w:t>Management body</w:t>
            </w:r>
          </w:p>
        </w:tc>
        <w:tc>
          <w:tcPr>
            <w:tcW w:type="dxa" w:w="3456"/>
            <w:tcMar>
              <w:top w:w="80" w:type="dxa"/>
              <w:start w:w="110" w:type="dxa"/>
              <w:bottom w:w="80" w:type="dxa"/>
              <w:end w:w="110" w:type="dxa"/>
            </w:tcMar>
            <w:vAlign w:val="center"/>
          </w:tcPr>
          <w:p>
            <w:pPr>
              <w:widowControl/>
              <w:spacing w:after="0"/>
            </w:pPr>
            <w:r>
              <w:rPr>
                <w:rFonts w:ascii="Calibri" w:hAnsi="Calibri"/>
                <w:b w:val="0"/>
                <w:color w:val="1F2937"/>
                <w:sz w:val="15"/>
              </w:rPr>
              <w:t>Material disruption or risk decision</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2966"/>
            <w:tcMar>
              <w:top w:w="80" w:type="dxa"/>
              <w:start w:w="110" w:type="dxa"/>
              <w:bottom w:w="80" w:type="dxa"/>
              <w:end w:w="110" w:type="dxa"/>
            </w:tcMar>
            <w:vAlign w:val="center"/>
          </w:tcPr>
          <w:p>
            <w:pPr>
              <w:widowControl/>
              <w:spacing w:after="0"/>
            </w:pPr>
            <w:r>
              <w:rPr>
                <w:rFonts w:ascii="Calibri" w:hAnsi="Calibri"/>
                <w:b w:val="0"/>
                <w:color w:val="1F2937"/>
                <w:sz w:val="15"/>
              </w:rPr>
              <w:t>[SECURE CHANNEL / UPDATE FORMAT]</w:t>
            </w:r>
          </w:p>
        </w:tc>
      </w:tr>
      <w:tr>
        <w:trPr>
          <w:cantSplit/>
        </w:trPr>
        <w:tc>
          <w:tcPr>
            <w:tcW w:type="dxa" w:w="1872"/>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 FSA</w:t>
            </w:r>
          </w:p>
        </w:tc>
        <w:tc>
          <w:tcPr>
            <w:tcW w:type="dxa" w:w="3456"/>
            <w:tcMar>
              <w:top w:w="80" w:type="dxa"/>
              <w:start w:w="110" w:type="dxa"/>
              <w:bottom w:w="80" w:type="dxa"/>
              <w:end w:w="110" w:type="dxa"/>
            </w:tcMar>
            <w:vAlign w:val="center"/>
            <w:shd w:fill="F8FAFC"/>
          </w:tcPr>
          <w:p>
            <w:pPr>
              <w:widowControl/>
              <w:spacing w:after="0"/>
            </w:pPr>
            <w:r>
              <w:rPr>
                <w:rFonts w:ascii="Calibri" w:hAnsi="Calibri"/>
                <w:b w:val="0"/>
                <w:color w:val="1F2937"/>
                <w:sz w:val="15"/>
              </w:rPr>
              <w:t>Major ICT incident or required update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5"/>
              </w:rPr>
              <w:t>Compliance</w:t>
            </w:r>
          </w:p>
        </w:tc>
        <w:tc>
          <w:tcPr>
            <w:tcW w:type="dxa" w:w="2966"/>
            <w:tcMar>
              <w:top w:w="80" w:type="dxa"/>
              <w:start w:w="110" w:type="dxa"/>
              <w:bottom w:w="80" w:type="dxa"/>
              <w:end w:w="110" w:type="dxa"/>
            </w:tcMar>
            <w:vAlign w:val="center"/>
            <w:shd w:fill="F8FAFC"/>
          </w:tcPr>
          <w:p>
            <w:pPr>
              <w:widowControl/>
              <w:spacing w:after="0"/>
            </w:pPr>
            <w:r>
              <w:rPr>
                <w:rFonts w:ascii="Calibri" w:hAnsi="Calibri"/>
                <w:b w:val="0"/>
                <w:color w:val="1F2937"/>
                <w:sz w:val="15"/>
              </w:rPr>
              <w:t>D06 reporting runbook and portal</w:t>
            </w:r>
          </w:p>
        </w:tc>
      </w:tr>
      <w:tr>
        <w:trPr>
          <w:cantSplit/>
        </w:trPr>
        <w:tc>
          <w:tcPr>
            <w:tcW w:type="dxa" w:w="1872"/>
            <w:tcMar>
              <w:top w:w="80" w:type="dxa"/>
              <w:start w:w="110" w:type="dxa"/>
              <w:bottom w:w="80" w:type="dxa"/>
              <w:end w:w="110" w:type="dxa"/>
            </w:tcMar>
            <w:vAlign w:val="center"/>
          </w:tcPr>
          <w:p>
            <w:pPr>
              <w:widowControl/>
              <w:spacing w:after="0"/>
            </w:pPr>
            <w:r>
              <w:rPr>
                <w:rFonts w:ascii="Calibri" w:hAnsi="Calibri"/>
                <w:b/>
                <w:color w:val="1F4D78"/>
                <w:sz w:val="15"/>
              </w:rPr>
              <w:t>Clients / counterparts</w:t>
            </w:r>
          </w:p>
        </w:tc>
        <w:tc>
          <w:tcPr>
            <w:tcW w:type="dxa" w:w="3456"/>
            <w:tcMar>
              <w:top w:w="80" w:type="dxa"/>
              <w:start w:w="110" w:type="dxa"/>
              <w:bottom w:w="80" w:type="dxa"/>
              <w:end w:w="110" w:type="dxa"/>
            </w:tcMar>
            <w:vAlign w:val="center"/>
          </w:tcPr>
          <w:p>
            <w:pPr>
              <w:widowControl/>
              <w:spacing w:after="0"/>
            </w:pPr>
            <w:r>
              <w:rPr>
                <w:rFonts w:ascii="Calibri" w:hAnsi="Calibri"/>
                <w:b w:val="0"/>
                <w:color w:val="1F2937"/>
                <w:sz w:val="15"/>
              </w:rPr>
              <w:t>Where impact or protective action requires notice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5"/>
              </w:rPr>
              <w:t>[ROLE]</w:t>
            </w:r>
          </w:p>
        </w:tc>
        <w:tc>
          <w:tcPr>
            <w:tcW w:type="dxa" w:w="2966"/>
            <w:tcMar>
              <w:top w:w="80" w:type="dxa"/>
              <w:start w:w="110" w:type="dxa"/>
              <w:bottom w:w="80" w:type="dxa"/>
              <w:end w:w="110" w:type="dxa"/>
            </w:tcMar>
            <w:vAlign w:val="center"/>
          </w:tcPr>
          <w:p>
            <w:pPr>
              <w:widowControl/>
              <w:spacing w:after="0"/>
            </w:pPr>
            <w:r>
              <w:rPr>
                <w:rFonts w:ascii="Calibri" w:hAnsi="Calibri"/>
                <w:b w:val="0"/>
                <w:color w:val="1F2937"/>
                <w:sz w:val="15"/>
              </w:rPr>
              <w:t>Approved template; coordinate legal/privacy duties</w:t>
            </w:r>
          </w:p>
        </w:tc>
      </w:tr>
      <w:tr>
        <w:trPr>
          <w:cantSplit/>
        </w:trPr>
        <w:tc>
          <w:tcPr>
            <w:tcW w:type="dxa" w:w="1872"/>
            <w:tcMar>
              <w:top w:w="80" w:type="dxa"/>
              <w:start w:w="110" w:type="dxa"/>
              <w:bottom w:w="80" w:type="dxa"/>
              <w:end w:w="110" w:type="dxa"/>
            </w:tcMar>
            <w:vAlign w:val="center"/>
            <w:shd w:fill="F8FAFC"/>
          </w:tcPr>
          <w:p>
            <w:pPr>
              <w:widowControl/>
              <w:spacing w:after="0"/>
            </w:pPr>
            <w:r>
              <w:rPr>
                <w:rFonts w:ascii="Calibri" w:hAnsi="Calibri"/>
                <w:b/>
                <w:color w:val="1F4D78"/>
                <w:sz w:val="15"/>
              </w:rPr>
              <w:t>Staff</w:t>
            </w:r>
          </w:p>
        </w:tc>
        <w:tc>
          <w:tcPr>
            <w:tcW w:type="dxa" w:w="3456"/>
            <w:tcMar>
              <w:top w:w="80" w:type="dxa"/>
              <w:start w:w="110" w:type="dxa"/>
              <w:bottom w:w="80" w:type="dxa"/>
              <w:end w:w="110" w:type="dxa"/>
            </w:tcMar>
            <w:vAlign w:val="center"/>
            <w:shd w:fill="F8FAFC"/>
          </w:tcPr>
          <w:p>
            <w:pPr>
              <w:widowControl/>
              <w:spacing w:after="0"/>
            </w:pPr>
            <w:r>
              <w:rPr>
                <w:rFonts w:ascii="Calibri" w:hAnsi="Calibri"/>
                <w:b w:val="0"/>
                <w:color w:val="1F2937"/>
                <w:sz w:val="15"/>
              </w:rPr>
              <w:t>Activation, workarounds, security actions</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5"/>
              </w:rPr>
              <w:t>[ROLE]</w:t>
            </w:r>
          </w:p>
        </w:tc>
        <w:tc>
          <w:tcPr>
            <w:tcW w:type="dxa" w:w="2966"/>
            <w:tcMar>
              <w:top w:w="80" w:type="dxa"/>
              <w:start w:w="110" w:type="dxa"/>
              <w:bottom w:w="80" w:type="dxa"/>
              <w:end w:w="110" w:type="dxa"/>
            </w:tcMar>
            <w:vAlign w:val="center"/>
            <w:shd w:fill="F8FAFC"/>
          </w:tcPr>
          <w:p>
            <w:pPr>
              <w:widowControl/>
              <w:spacing w:after="0"/>
            </w:pPr>
            <w:r>
              <w:rPr>
                <w:rFonts w:ascii="Calibri" w:hAnsi="Calibri"/>
                <w:b w:val="0"/>
                <w:color w:val="1F2937"/>
                <w:sz w:val="15"/>
              </w:rPr>
              <w:t>Verified alternate channel</w:t>
            </w:r>
          </w:p>
        </w:tc>
      </w:tr>
      <w:tr>
        <w:trPr>
          <w:cantSplit/>
        </w:trPr>
        <w:tc>
          <w:tcPr>
            <w:tcW w:type="dxa" w:w="1872"/>
            <w:tcMar>
              <w:top w:w="80" w:type="dxa"/>
              <w:start w:w="110" w:type="dxa"/>
              <w:bottom w:w="80" w:type="dxa"/>
              <w:end w:w="110" w:type="dxa"/>
            </w:tcMar>
            <w:vAlign w:val="center"/>
          </w:tcPr>
          <w:p>
            <w:pPr>
              <w:widowControl/>
              <w:spacing w:after="0"/>
            </w:pPr>
            <w:r>
              <w:rPr>
                <w:rFonts w:ascii="Calibri" w:hAnsi="Calibri"/>
                <w:b/>
                <w:color w:val="1F4D78"/>
                <w:sz w:val="15"/>
              </w:rPr>
              <w:t>Providers / responders</w:t>
            </w:r>
          </w:p>
        </w:tc>
        <w:tc>
          <w:tcPr>
            <w:tcW w:type="dxa" w:w="3456"/>
            <w:tcMar>
              <w:top w:w="80" w:type="dxa"/>
              <w:start w:w="110" w:type="dxa"/>
              <w:bottom w:w="80" w:type="dxa"/>
              <w:end w:w="110" w:type="dxa"/>
            </w:tcMar>
            <w:vAlign w:val="center"/>
          </w:tcPr>
          <w:p>
            <w:pPr>
              <w:widowControl/>
              <w:spacing w:after="0"/>
            </w:pPr>
            <w:r>
              <w:rPr>
                <w:rFonts w:ascii="Calibri" w:hAnsi="Calibri"/>
                <w:b w:val="0"/>
                <w:color w:val="1F2937"/>
                <w:sz w:val="15"/>
              </w:rPr>
              <w:t>Incident assistance and recovery</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5"/>
              </w:rPr>
              <w:t>ICT lead</w:t>
            </w:r>
          </w:p>
        </w:tc>
        <w:tc>
          <w:tcPr>
            <w:tcW w:type="dxa" w:w="2966"/>
            <w:tcMar>
              <w:top w:w="80" w:type="dxa"/>
              <w:start w:w="110" w:type="dxa"/>
              <w:bottom w:w="80" w:type="dxa"/>
              <w:end w:w="110" w:type="dxa"/>
            </w:tcMar>
            <w:vAlign w:val="center"/>
          </w:tcPr>
          <w:p>
            <w:pPr>
              <w:widowControl/>
              <w:spacing w:after="0"/>
            </w:pPr>
            <w:r>
              <w:rPr>
                <w:rFonts w:ascii="Calibri" w:hAnsi="Calibri"/>
                <w:b w:val="0"/>
                <w:color w:val="1F2937"/>
                <w:sz w:val="15"/>
              </w:rPr>
              <w:t>Contractual escalation contacts</w:t>
            </w:r>
          </w:p>
        </w:tc>
      </w:tr>
    </w:tbl>
    <w:p>
      <w:pPr>
        <w:widowControl/>
        <w:spacing w:after="0"/>
      </w:pPr>
    </w:p>
    <w:p>
      <w:pPr>
        <w:pStyle w:val="Heading1"/>
        <w:widowControl/>
      </w:pPr>
      <w:r>
        <w:t>10. Return to normal and post-event review</w:t>
      </w:r>
    </w:p>
    <w:p>
      <w:pPr>
        <w:pStyle w:val="ListNumber"/>
        <w:widowControl/>
      </w:pPr>
      <w:r>
        <w:t>Confirm stable service, security monitoring, data reconciliation and backlog plan.</w:t>
      </w:r>
    </w:p>
    <w:p>
      <w:pPr>
        <w:pStyle w:val="ListNumber"/>
        <w:widowControl/>
      </w:pPr>
      <w:r>
        <w:t>Approve removal of temporary access, changes and workarounds.</w:t>
      </w:r>
    </w:p>
    <w:p>
      <w:pPr>
        <w:pStyle w:val="ListNumber"/>
        <w:widowControl/>
      </w:pPr>
      <w:r>
        <w:t>Notify relevant stakeholders and close or update regulatory reports.</w:t>
      </w:r>
    </w:p>
    <w:p>
      <w:pPr>
        <w:pStyle w:val="ListNumber"/>
        <w:widowControl/>
      </w:pPr>
      <w:r>
        <w:t>Capture actual RTO/RPO performance, decisions, costs and control failures.</w:t>
      </w:r>
    </w:p>
    <w:p>
      <w:pPr>
        <w:pStyle w:val="ListNumber"/>
        <w:widowControl/>
      </w:pPr>
      <w:r>
        <w:t>Transfer corrective actions to D03/D08/D13 and evidence to D14.</w:t>
      </w:r>
    </w:p>
    <w:p>
      <w:pPr>
        <w:pStyle w:val="ListNumber"/>
        <w:widowControl/>
      </w:pPr>
      <w:r>
        <w:t>Update this Plan, the BIA, inventories, provider pack and training where lessons require.</w:t>
      </w:r>
    </w:p>
    <w:p>
      <w:pPr>
        <w:pStyle w:val="Heading1"/>
        <w:widowControl/>
      </w:pPr>
      <w:r>
        <w:t>11. Testing and maintenance</w:t>
      </w:r>
    </w:p>
    <w:p>
      <w:pPr>
        <w:widowControl/>
      </w:pPr>
      <w:r>
        <w:t>The Plan shall be tested through the D08 programme, including at least a tabletop exercise and backup restoration appropriate to criticality. Material findings require owners, deadlines, interim controls and retesting. Contacts, recovery procedures and dependency data shall be checked [QUARTERLY]; the full Plan shall be reviewed at least annually and after activation or material change.</w:t>
      </w:r>
    </w:p>
    <w:p>
      <w:pPr>
        <w:widowControl/>
      </w:pPr>
      <w:r>
        <w:br w:type="page"/>
      </w:r>
    </w:p>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17 requirement records are associated with D05.</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Continuity, response and recovery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ensure the continuity of critical or important functions, through business continuity plans and response and recovery measures, which include, at least, back-up and restoration measures;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develop their ICT business continuity plans considering the results of the analysis of their exposures to and potential imp</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RTS1774-A39-P2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ICT business continuity plans referred to in paragraph 1 shall: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point (f), the measures referred to in that point shall provide for the mitigation of failures of critical third-party providers.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RTS1774-A39-P2-A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39(2)(a)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be approved by the management body of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be documented and readily accessible in the event of an emergency or crisis;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RTS1774-A39-P2-C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39(2)(c)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allocate sufficient resources for their execution;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39(2)(d)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establish planned recovery levels and timeframes for the recovery and resumption of functions and key internal and external dependencies, including ICT third-party service providers;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RTS1774-A39-P2-E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39(2)(e)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the conditions that may prompt the activation of the ICT business continuity plans and what actions are to be taken to ensure the availability, continuity, and recovery of the financial entities’ ICT 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39(2)(f)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identify the restoration and recovery measures for critical or important business functions, supporting processes, information assets, and their interdependencies to avoid adverse effects on the functioning of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RTS1774-A39-P2-G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39(2)(g)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backup procedures and measures that specify the scope of the data that are subject to the backup, and the minimum frequency of the backup, based on the criticality of the function using those data;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39(2)(h)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consider alternative options where recovery may not be feasible in the short term because of costs, risks, logistics, or unforeseen circumstances;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RTS1774-A39-P2-I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39(2)(i)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specify the internal and external communication arrangements, including escalation plans;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RTS1774-A39-P2-J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39(2)(j)</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4–10 — ICT business continuity components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be updated in line with lessons learned from incidents, tests, new risks, and threats identified, changed recovery objectives, major changes to the financial entity’s organisation, and to the ICT assets support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RTS1774-A40-P1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40(1)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Article 16(1) of Regulation (EU) 2022/2554 shall test their business continuity plans referred to in Article 39 of this Regulation, including the scenarios referred to in 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RTS1774-A40-P2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40(2)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testing of business continuity plans referred to in paragraph 1 shall demonstrate that the financial entities referred to in that paragraph are able to sustain the viability of their businesses until critic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RTS1774-A40-P3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40(3)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document the results of the testing of business continuity plans and any identified deficiencies resulting from that testing shall be analysed, addressed,</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D05  |  ICT BUSINESS CONTINUITY, RESPONSE &amp; RECOVERY PLAN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Business Continuity, Response &amp; Recovery Plan</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