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720"/>
      </w:pPr>
    </w:p>
    <w:p>
      <w:pPr>
        <w:widowControl/>
        <w:spacing w:after="240"/>
      </w:pPr>
      <w:r>
        <w:rPr>
          <w:rFonts w:ascii="Calibri" w:hAnsi="Calibri"/>
          <w:b/>
          <w:color w:val="0F6B78"/>
          <w:sz w:val="34"/>
        </w:rPr>
        <w:t>D02</w:t>
      </w:r>
    </w:p>
    <w:p>
      <w:pPr>
        <w:widowControl/>
        <w:spacing w:after="240" w:line="235" w:lineRule="auto"/>
      </w:pPr>
      <w:r>
        <w:rPr>
          <w:rFonts w:ascii="Calibri" w:hAnsi="Calibri"/>
          <w:b/>
          <w:color w:val="17365D"/>
          <w:sz w:val="54"/>
        </w:rPr>
        <w:t>Information Security &amp; ICT Operations Policy</w:t>
      </w:r>
    </w:p>
    <w:p>
      <w:pPr>
        <w:widowControl/>
        <w:spacing w:after="560"/>
      </w:pPr>
      <w:r>
        <w:rPr>
          <w:rFonts w:ascii="Calibri" w:hAnsi="Calibri"/>
          <w:b/>
          <w:color w:val="FFFFFF"/>
          <w:sz w:val="20"/>
          <w:shd w:fill="0F6B78"/>
        </w:rPr>
        <w:t>CONTROLLED TEMPLATE</w:t>
      </w:r>
    </w:p>
    <w:tbl>
      <w:tblPr>
        <w:tblW w:type="auto" w:w="0"/>
        <w:jc w:val="left"/>
        <w:tblLayout w:type="fixed"/>
        <w:tblLook w:firstColumn="1" w:firstRow="1" w:lastColumn="0" w:lastRow="0" w:noHBand="0" w:noVBand="1" w:val="04A0"/>
      </w:tblPr>
      <w:tblGrid>
        <w:gridCol w:w="2448"/>
        <w:gridCol w:w="7430"/>
      </w:tblGrid>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ENTITY</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[ENTITY LEGAL NAME]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OWNER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[ROLE / FUNCTION]</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APPROVER</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[BOARD / MANAGEMENT BODY / EXECUTIVE]</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VERSION</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[1.0]</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EFFECTIVE DATE</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r>
        <w:tc>
          <w:tcPr>
            <w:tcW w:type="dxa" w:w="2448"/>
            <w:shd w:fill="E8EEF5"/>
            <w:tcMar>
              <w:top w:w="90" w:type="dxa"/>
              <w:start w:w="120" w:type="dxa"/>
              <w:bottom w:w="90" w:type="dxa"/>
              <w:end w:w="120" w:type="dxa"/>
            </w:tcMar>
            <w:vAlign w:val="center"/>
          </w:tcPr>
          <w:p>
            <w:pPr>
              <w:widowControl/>
            </w:pPr>
            <w:r>
              <w:rPr>
                <w:rFonts w:ascii="Calibri" w:hAnsi="Calibri"/>
                <w:b/>
                <w:color w:val="1F4D78"/>
                <w:sz w:val="16"/>
              </w:rPr>
              <w:t>NEXT REVIEW</w:t>
            </w:r>
          </w:p>
        </w:tc>
        <w:tc>
          <w:tcPr>
            <w:tcW w:type="dxa" w:w="7430"/>
            <w:tcMar>
              <w:top w:w="90" w:type="dxa"/>
              <w:start w:w="120" w:type="dxa"/>
              <w:bottom w:w="90" w:type="dxa"/>
              <w:end w:w="120" w:type="dxa"/>
            </w:tcMar>
            <w:vAlign w:val="center"/>
          </w:tcPr>
          <w:p>
            <w:pPr>
              <w:widowControl/>
            </w:pPr>
            <w:r>
              <w:rPr>
                <w:rFonts w:ascii="Calibri" w:hAnsi="Calibri"/>
                <w:b/>
                <w:color w:val="17365D"/>
                <w:sz w:val="18"/>
                <w:shd w:fill="FFF2CC"/>
              </w:rPr>
              <w:t>[DD MONTH YYYY]</w:t>
            </w:r>
          </w:p>
        </w:tc>
      </w:tr>
    </w:tbl>
    <w:p>
      <w:pPr>
        <w:widowControl/>
        <w:spacing w:after="280"/>
      </w:pPr>
    </w:p>
    <w:tbl>
      <w:tblPr>
        <w:tblW w:type="auto" w:w="0"/>
        <w:jc w:val="center"/>
        <w:tblLayout w:type="fixed"/>
        <w:tblLook w:firstColumn="1" w:firstRow="1" w:lastColumn="0" w:lastRow="0" w:noHBand="0" w:noVBand="1" w:val="04A0"/>
      </w:tblPr>
      <w:tblGrid>
        <w:gridCol w:w="158"/>
        <w:gridCol w:w="9720"/>
      </w:tblGrid>
      <w:tr>
        <w:tc>
          <w:tcPr>
            <w:tcW w:type="dxa" w:w="158"/>
            <w:shd w:fill="9B1C1C"/>
            <w:tcMar>
              <w:top w:w="0" w:type="dxa"/>
              <w:start w:w="0" w:type="dxa"/>
              <w:bottom w:w="0" w:type="dxa"/>
              <w:end w:w="0" w:type="dxa"/>
            </w:tcMar>
            <w:vAlign w:val="center"/>
          </w:tcPr>
          <w:p>
            <w:pPr>
              <w:widowControl/>
            </w:pPr>
          </w:p>
        </w:tc>
        <w:tc>
          <w:tcPr>
            <w:tcW w:type="dxa" w:w="9720"/>
            <w:shd w:fill="FFF5F5"/>
            <w:tcMar>
              <w:top w:w="100" w:type="dxa"/>
              <w:start w:w="145" w:type="dxa"/>
              <w:bottom w:w="100" w:type="dxa"/>
              <w:end w:w="145" w:type="dxa"/>
            </w:tcMar>
            <w:vAlign w:val="center"/>
          </w:tcPr>
          <w:p>
            <w:pPr>
              <w:widowControl/>
            </w:pPr>
            <w:r>
              <w:rPr>
                <w:rFonts w:ascii="Calibri" w:hAnsi="Calibri"/>
                <w:b/>
                <w:color w:val="9B1C1C"/>
                <w:sz w:val="17"/>
              </w:rPr>
              <w:t>TEMPLATE STATUS</w:t>
            </w:r>
            <w:r>
              <w:rPr>
                <w:rFonts w:ascii="Calibri" w:hAnsi="Calibri"/>
              </w:rPr>
              <w:br/>
              <w:t>Complete and validate every yellow-bracketed field. Delete drafting notes before approval. Technical controls, inventories, provider facts, tests and audit conclusions must not be assumed or invented.</w:t>
            </w:r>
          </w:p>
        </w:tc>
      </w:tr>
    </w:tbl>
    <w:p>
      <w:pPr>
        <w:widowControl/>
        <w:spacing w:after="0"/>
      </w:pPr>
    </w:p>
    <w:p>
      <w:pPr>
        <w:widowControl/>
      </w:pPr>
      <w:r>
        <w:br w:type="page"/>
      </w:r>
    </w:p>
    <w:p>
      <w:pPr>
        <w:pStyle w:val="Heading1"/>
        <w:widowControl/>
      </w:pPr>
      <w:r>
        <w:t>Document control and approval</w:t>
      </w:r>
    </w:p>
    <w:tbl>
      <w:tblPr>
        <w:tblStyle w:val="TableGrid"/>
        <w:tblW w:type="auto" w:w="0"/>
        <w:jc w:val="center"/>
        <w:tblLayout w:type="fixed"/>
        <w:tblLook w:firstColumn="1" w:firstRow="1" w:lastColumn="0" w:lastRow="0" w:noHBand="0" w:noVBand="1" w:val="04A0"/>
      </w:tblPr>
      <w:tblGrid>
        <w:gridCol w:w="2520"/>
        <w:gridCol w:w="7358"/>
      </w:tblGrid>
      <w:tr>
        <w:trPr>
          <w:tblHeader w:val="true"/>
        </w:trPr>
        <w:tc>
          <w:tcPr>
            <w:tcW w:type="dxa" w:w="2520"/>
            <w:shd w:fill="17365D"/>
            <w:tcMar>
              <w:top w:w="80" w:type="dxa"/>
              <w:start w:w="110" w:type="dxa"/>
              <w:bottom w:w="80" w:type="dxa"/>
              <w:end w:w="110" w:type="dxa"/>
            </w:tcMar>
            <w:vAlign w:val="center"/>
          </w:tcPr>
          <w:p>
            <w:pPr>
              <w:widowControl/>
            </w:pPr>
            <w:r>
              <w:rPr>
                <w:rFonts w:ascii="Calibri" w:hAnsi="Calibri"/>
                <w:b/>
                <w:color w:val="FFFFFF"/>
                <w:sz w:val="17"/>
              </w:rPr>
              <w:t>Field</w:t>
            </w:r>
          </w:p>
        </w:tc>
        <w:tc>
          <w:tcPr>
            <w:tcW w:type="dxa" w:w="7358"/>
            <w:shd w:fill="17365D"/>
            <w:tcMar>
              <w:top w:w="80" w:type="dxa"/>
              <w:start w:w="110" w:type="dxa"/>
              <w:bottom w:w="80" w:type="dxa"/>
              <w:end w:w="110" w:type="dxa"/>
            </w:tcMar>
            <w:vAlign w:val="center"/>
          </w:tcPr>
          <w:p>
            <w:pPr>
              <w:widowControl/>
            </w:pPr>
            <w:r>
              <w:rPr>
                <w:rFonts w:ascii="Calibri" w:hAnsi="Calibri"/>
                <w:b/>
                <w:color w:val="FFFFFF"/>
                <w:sz w:val="17"/>
              </w:rPr>
              <w:t>Controlled value</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Document ID</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D02</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Document title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Information Security &amp; ICT Operations Policy</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Owner</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[ICT / Information Security Owner]</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Approval authority</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Management body</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Version</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[1.0]</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Effective date</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[DD MONTH YYYY]</w:t>
            </w:r>
          </w:p>
        </w:tc>
      </w:tr>
      <w:tr>
        <w:trPr>
          <w:cantSplit/>
        </w:trPr>
        <w:tc>
          <w:tcPr>
            <w:tcW w:type="dxa" w:w="2520"/>
            <w:tcMar>
              <w:top w:w="80" w:type="dxa"/>
              <w:start w:w="110" w:type="dxa"/>
              <w:bottom w:w="80" w:type="dxa"/>
              <w:end w:w="110" w:type="dxa"/>
            </w:tcMar>
            <w:vAlign w:val="center"/>
          </w:tcPr>
          <w:p>
            <w:pPr>
              <w:widowControl/>
              <w:spacing w:after="0"/>
            </w:pPr>
            <w:r>
              <w:rPr>
                <w:rFonts w:ascii="Calibri" w:hAnsi="Calibri"/>
                <w:b/>
                <w:color w:val="1F4D78"/>
                <w:sz w:val="17"/>
              </w:rPr>
              <w:t>Review cycle</w:t>
            </w:r>
          </w:p>
        </w:tc>
        <w:tc>
          <w:tcPr>
            <w:tcW w:type="dxa" w:w="7358"/>
            <w:tcMar>
              <w:top w:w="80" w:type="dxa"/>
              <w:start w:w="110" w:type="dxa"/>
              <w:bottom w:w="80" w:type="dxa"/>
              <w:end w:w="110" w:type="dxa"/>
            </w:tcMar>
            <w:vAlign w:val="center"/>
          </w:tcPr>
          <w:p>
            <w:pPr>
              <w:widowControl/>
              <w:spacing w:after="0"/>
            </w:pPr>
            <w:r>
              <w:rPr>
                <w:rFonts w:ascii="Calibri" w:hAnsi="Calibri"/>
                <w:b w:val="0"/>
                <w:color w:val="1F2937"/>
                <w:sz w:val="17"/>
              </w:rPr>
              <w:t>At least annually and on material change or incident</w:t>
            </w:r>
          </w:p>
        </w:tc>
      </w:tr>
      <w:tr>
        <w:trPr>
          <w:cantSplit/>
        </w:trPr>
        <w:tc>
          <w:tcPr>
            <w:tcW w:type="dxa" w:w="2520"/>
            <w:tcMar>
              <w:top w:w="80" w:type="dxa"/>
              <w:start w:w="110" w:type="dxa"/>
              <w:bottom w:w="80" w:type="dxa"/>
              <w:end w:w="110" w:type="dxa"/>
            </w:tcMar>
            <w:vAlign w:val="center"/>
            <w:shd w:fill="F8FAFC"/>
          </w:tcPr>
          <w:p>
            <w:pPr>
              <w:widowControl/>
              <w:spacing w:after="0"/>
            </w:pPr>
            <w:r>
              <w:rPr>
                <w:rFonts w:ascii="Calibri" w:hAnsi="Calibri"/>
                <w:b/>
                <w:color w:val="1F4D78"/>
                <w:sz w:val="17"/>
              </w:rPr>
              <w:t>Classification</w:t>
            </w:r>
          </w:p>
        </w:tc>
        <w:tc>
          <w:tcPr>
            <w:tcW w:type="dxa" w:w="7358"/>
            <w:tcMar>
              <w:top w:w="80" w:type="dxa"/>
              <w:start w:w="110" w:type="dxa"/>
              <w:bottom w:w="80" w:type="dxa"/>
              <w:end w:w="110" w:type="dxa"/>
            </w:tcMar>
            <w:vAlign w:val="center"/>
            <w:shd w:fill="F8FAFC"/>
          </w:tcPr>
          <w:p>
            <w:pPr>
              <w:widowControl/>
              <w:spacing w:after="0"/>
            </w:pPr>
            <w:r>
              <w:rPr>
                <w:rFonts w:ascii="Calibri" w:hAnsi="Calibri"/>
                <w:b w:val="0"/>
                <w:color w:val="1F2937"/>
                <w:sz w:val="17"/>
              </w:rPr>
              <w:t>Confidential — Internal</w:t>
            </w:r>
          </w:p>
        </w:tc>
      </w:tr>
    </w:tbl>
    <w:p>
      <w:pPr>
        <w:widowControl/>
        <w:spacing w:after="0"/>
      </w:pPr>
    </w:p>
    <w:p>
      <w:pPr>
        <w:pStyle w:val="Heading2"/>
        <w:widowControl/>
      </w:pPr>
      <w:r>
        <w:t>Approval record</w:t>
      </w:r>
    </w:p>
    <w:tbl>
      <w:tblPr>
        <w:tblStyle w:val="TableGrid"/>
        <w:tblW w:type="auto" w:w="0"/>
        <w:jc w:val="center"/>
        <w:tblLayout w:type="fixed"/>
        <w:tblLook w:firstColumn="1" w:firstRow="1" w:lastColumn="0" w:lastRow="0" w:noHBand="0" w:noVBand="1" w:val="04A0"/>
      </w:tblPr>
      <w:tblGrid>
        <w:gridCol w:w="2880"/>
        <w:gridCol w:w="2376"/>
        <w:gridCol w:w="3024"/>
        <w:gridCol w:w="1598"/>
      </w:tblGrid>
      <w:tr>
        <w:trPr>
          <w:tblHeader w:val="true"/>
        </w:trPr>
        <w:tc>
          <w:tcPr>
            <w:tcW w:type="dxa" w:w="2880"/>
            <w:shd w:fill="17365D"/>
            <w:tcMar>
              <w:top w:w="80" w:type="dxa"/>
              <w:start w:w="110" w:type="dxa"/>
              <w:bottom w:w="80" w:type="dxa"/>
              <w:end w:w="110" w:type="dxa"/>
            </w:tcMar>
            <w:vAlign w:val="center"/>
          </w:tcPr>
          <w:p>
            <w:pPr>
              <w:widowControl/>
            </w:pPr>
            <w:r>
              <w:rPr>
                <w:rFonts w:ascii="Calibri" w:hAnsi="Calibri"/>
                <w:b/>
                <w:color w:val="FFFFFF"/>
                <w:sz w:val="16"/>
              </w:rPr>
              <w:t>Approver</w:t>
            </w:r>
          </w:p>
        </w:tc>
        <w:tc>
          <w:tcPr>
            <w:tcW w:type="dxa" w:w="2376"/>
            <w:shd w:fill="17365D"/>
            <w:tcMar>
              <w:top w:w="80" w:type="dxa"/>
              <w:start w:w="110" w:type="dxa"/>
              <w:bottom w:w="80" w:type="dxa"/>
              <w:end w:w="110" w:type="dxa"/>
            </w:tcMar>
            <w:vAlign w:val="center"/>
          </w:tcPr>
          <w:p>
            <w:pPr>
              <w:widowControl/>
            </w:pPr>
            <w:r>
              <w:rPr>
                <w:rFonts w:ascii="Calibri" w:hAnsi="Calibri"/>
                <w:b/>
                <w:color w:val="FFFFFF"/>
                <w:sz w:val="16"/>
              </w:rPr>
              <w:t>Capacity</w:t>
            </w:r>
          </w:p>
        </w:tc>
        <w:tc>
          <w:tcPr>
            <w:tcW w:type="dxa" w:w="3024"/>
            <w:shd w:fill="17365D"/>
            <w:tcMar>
              <w:top w:w="80" w:type="dxa"/>
              <w:start w:w="110" w:type="dxa"/>
              <w:bottom w:w="80" w:type="dxa"/>
              <w:end w:w="110" w:type="dxa"/>
            </w:tcMar>
            <w:vAlign w:val="center"/>
          </w:tcPr>
          <w:p>
            <w:pPr>
              <w:widowControl/>
            </w:pPr>
            <w:r>
              <w:rPr>
                <w:rFonts w:ascii="Calibri" w:hAnsi="Calibri"/>
                <w:b/>
                <w:color w:val="FFFFFF"/>
                <w:sz w:val="16"/>
              </w:rPr>
              <w:t>Decision</w:t>
            </w:r>
          </w:p>
        </w:tc>
        <w:tc>
          <w:tcPr>
            <w:tcW w:type="dxa" w:w="1598"/>
            <w:shd w:fill="17365D"/>
            <w:tcMar>
              <w:top w:w="80" w:type="dxa"/>
              <w:start w:w="110" w:type="dxa"/>
              <w:bottom w:w="80" w:type="dxa"/>
              <w:end w:w="110" w:type="dxa"/>
            </w:tcMar>
            <w:vAlign w:val="center"/>
          </w:tcPr>
          <w:p>
            <w:pPr>
              <w:widowControl/>
            </w:pPr>
            <w:r>
              <w:rPr>
                <w:rFonts w:ascii="Calibri" w:hAnsi="Calibri"/>
                <w:b/>
                <w:color w:val="FFFFFF"/>
                <w:sz w:val="16"/>
              </w:rPr>
              <w:t>Date</w:t>
            </w:r>
          </w:p>
        </w:tc>
      </w:tr>
      <w:tr>
        <w:trPr>
          <w:cantSplit/>
        </w:trPr>
        <w:tc>
          <w:tcPr>
            <w:tcW w:type="dxa" w:w="2880"/>
            <w:tcMar>
              <w:top w:w="80" w:type="dxa"/>
              <w:start w:w="110" w:type="dxa"/>
              <w:bottom w:w="80" w:type="dxa"/>
              <w:end w:w="110" w:type="dxa"/>
            </w:tcMar>
            <w:vAlign w:val="center"/>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tcPr>
          <w:p>
            <w:pPr>
              <w:widowControl/>
              <w:spacing w:after="0"/>
            </w:pPr>
            <w:r>
              <w:rPr>
                <w:rFonts w:ascii="Calibri" w:hAnsi="Calibri"/>
                <w:b w:val="0"/>
                <w:color w:val="1F2937"/>
                <w:sz w:val="16"/>
              </w:rPr>
              <w:t>[DATE]</w:t>
            </w:r>
          </w:p>
        </w:tc>
      </w:tr>
      <w:tr>
        <w:trPr>
          <w:cantSplit/>
        </w:trPr>
        <w:tc>
          <w:tcPr>
            <w:tcW w:type="dxa" w:w="2880"/>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c>
          <w:tcPr>
            <w:tcW w:type="dxa" w:w="2376"/>
            <w:tcMar>
              <w:top w:w="80" w:type="dxa"/>
              <w:start w:w="110" w:type="dxa"/>
              <w:bottom w:w="80" w:type="dxa"/>
              <w:end w:w="110" w:type="dxa"/>
            </w:tcMar>
            <w:vAlign w:val="center"/>
            <w:shd w:fill="F8FAFC"/>
          </w:tcPr>
          <w:p>
            <w:pPr>
              <w:widowControl/>
              <w:spacing w:after="0"/>
            </w:pPr>
            <w:r>
              <w:rPr>
                <w:rFonts w:ascii="Calibri" w:hAnsi="Calibri"/>
                <w:b w:val="0"/>
                <w:color w:val="1F2937"/>
                <w:sz w:val="16"/>
              </w:rPr>
              <w:t>[ROLE]</w:t>
            </w:r>
          </w:p>
        </w:tc>
        <w:tc>
          <w:tcPr>
            <w:tcW w:type="dxa" w:w="3024"/>
            <w:tcMar>
              <w:top w:w="80" w:type="dxa"/>
              <w:start w:w="110" w:type="dxa"/>
              <w:bottom w:w="80" w:type="dxa"/>
              <w:end w:w="110" w:type="dxa"/>
            </w:tcMar>
            <w:vAlign w:val="center"/>
            <w:shd w:fill="F8FAFC"/>
          </w:tcPr>
          <w:p>
            <w:pPr>
              <w:widowControl/>
              <w:spacing w:after="0"/>
            </w:pPr>
            <w:r>
              <w:rPr>
                <w:rFonts w:ascii="Calibri" w:hAnsi="Calibri"/>
                <w:b w:val="0"/>
                <w:color w:val="1F2937"/>
                <w:sz w:val="16"/>
              </w:rPr>
              <w:t>Approved / conditional</w:t>
            </w:r>
          </w:p>
        </w:tc>
        <w:tc>
          <w:tcPr>
            <w:tcW w:type="dxa" w:w="1598"/>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r>
    </w:tbl>
    <w:p>
      <w:pPr>
        <w:widowControl/>
        <w:spacing w:after="0"/>
      </w:pPr>
    </w:p>
    <w:p>
      <w:pPr>
        <w:pStyle w:val="Heading2"/>
        <w:widowControl/>
      </w:pPr>
      <w:r>
        <w:t>Version history</w:t>
      </w:r>
    </w:p>
    <w:tbl>
      <w:tblPr>
        <w:tblStyle w:val="TableGrid"/>
        <w:tblW w:type="auto" w:w="0"/>
        <w:jc w:val="center"/>
        <w:tblLayout w:type="fixed"/>
        <w:tblLook w:firstColumn="1" w:firstRow="1" w:lastColumn="0" w:lastRow="0" w:noHBand="0" w:noVBand="1" w:val="04A0"/>
      </w:tblPr>
      <w:tblGrid>
        <w:gridCol w:w="1080"/>
        <w:gridCol w:w="1440"/>
        <w:gridCol w:w="5256"/>
        <w:gridCol w:w="2102"/>
      </w:tblGrid>
      <w:tr>
        <w:trPr>
          <w:tblHeader w:val="true"/>
        </w:trPr>
        <w:tc>
          <w:tcPr>
            <w:tcW w:type="dxa" w:w="1080"/>
            <w:shd w:fill="17365D"/>
            <w:tcMar>
              <w:top w:w="80" w:type="dxa"/>
              <w:start w:w="110" w:type="dxa"/>
              <w:bottom w:w="80" w:type="dxa"/>
              <w:end w:w="110" w:type="dxa"/>
            </w:tcMar>
            <w:vAlign w:val="center"/>
          </w:tcPr>
          <w:p>
            <w:pPr>
              <w:widowControl/>
            </w:pPr>
            <w:r>
              <w:rPr>
                <w:rFonts w:ascii="Calibri" w:hAnsi="Calibri"/>
                <w:b/>
                <w:color w:val="FFFFFF"/>
                <w:sz w:val="16"/>
              </w:rPr>
              <w:t>Version</w:t>
            </w:r>
          </w:p>
        </w:tc>
        <w:tc>
          <w:tcPr>
            <w:tcW w:type="dxa" w:w="1440"/>
            <w:shd w:fill="17365D"/>
            <w:tcMar>
              <w:top w:w="80" w:type="dxa"/>
              <w:start w:w="110" w:type="dxa"/>
              <w:bottom w:w="80" w:type="dxa"/>
              <w:end w:w="110" w:type="dxa"/>
            </w:tcMar>
            <w:vAlign w:val="center"/>
          </w:tcPr>
          <w:p>
            <w:pPr>
              <w:widowControl/>
            </w:pPr>
            <w:r>
              <w:rPr>
                <w:rFonts w:ascii="Calibri" w:hAnsi="Calibri"/>
                <w:b/>
                <w:color w:val="FFFFFF"/>
                <w:sz w:val="16"/>
              </w:rPr>
              <w:t>Date</w:t>
            </w:r>
          </w:p>
        </w:tc>
        <w:tc>
          <w:tcPr>
            <w:tcW w:type="dxa" w:w="5256"/>
            <w:shd w:fill="17365D"/>
            <w:tcMar>
              <w:top w:w="80" w:type="dxa"/>
              <w:start w:w="110" w:type="dxa"/>
              <w:bottom w:w="80" w:type="dxa"/>
              <w:end w:w="110" w:type="dxa"/>
            </w:tcMar>
            <w:vAlign w:val="center"/>
          </w:tcPr>
          <w:p>
            <w:pPr>
              <w:widowControl/>
            </w:pPr>
            <w:r>
              <w:rPr>
                <w:rFonts w:ascii="Calibri" w:hAnsi="Calibri"/>
                <w:b/>
                <w:color w:val="FFFFFF"/>
                <w:sz w:val="16"/>
              </w:rPr>
              <w:t>Change</w:t>
            </w:r>
          </w:p>
        </w:tc>
        <w:tc>
          <w:tcPr>
            <w:tcW w:type="dxa" w:w="2102"/>
            <w:shd w:fill="17365D"/>
            <w:tcMar>
              <w:top w:w="80" w:type="dxa"/>
              <w:start w:w="110" w:type="dxa"/>
              <w:bottom w:w="80" w:type="dxa"/>
              <w:end w:w="110" w:type="dxa"/>
            </w:tcMar>
            <w:vAlign w:val="center"/>
          </w:tcPr>
          <w:p>
            <w:pPr>
              <w:widowControl/>
            </w:pPr>
            <w:r>
              <w:rPr>
                <w:rFonts w:ascii="Calibri" w:hAnsi="Calibri"/>
                <w:b/>
                <w:color w:val="FFFFFF"/>
                <w:sz w:val="16"/>
              </w:rPr>
              <w:t>Author</w:t>
            </w:r>
          </w:p>
        </w:tc>
      </w:tr>
      <w:tr>
        <w:trPr>
          <w:cantSplit/>
        </w:trPr>
        <w:tc>
          <w:tcPr>
            <w:tcW w:type="dxa" w:w="1080"/>
            <w:tcMar>
              <w:top w:w="80" w:type="dxa"/>
              <w:start w:w="110" w:type="dxa"/>
              <w:bottom w:w="80" w:type="dxa"/>
              <w:end w:w="110" w:type="dxa"/>
            </w:tcMar>
            <w:vAlign w:val="center"/>
          </w:tcPr>
          <w:p>
            <w:pPr>
              <w:widowControl/>
              <w:spacing w:after="0"/>
            </w:pPr>
            <w:r>
              <w:rPr>
                <w:rFonts w:ascii="Calibri" w:hAnsi="Calibri"/>
                <w:b w:val="0"/>
                <w:color w:val="1F2937"/>
                <w:sz w:val="16"/>
              </w:rPr>
              <w:t>0.1</w:t>
            </w:r>
          </w:p>
        </w:tc>
        <w:tc>
          <w:tcPr>
            <w:tcW w:type="dxa" w:w="1440"/>
            <w:tcMar>
              <w:top w:w="80" w:type="dxa"/>
              <w:start w:w="110" w:type="dxa"/>
              <w:bottom w:w="80" w:type="dxa"/>
              <w:end w:w="110" w:type="dxa"/>
            </w:tcMar>
            <w:vAlign w:val="center"/>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tcPr>
          <w:p>
            <w:pPr>
              <w:widowControl/>
              <w:spacing w:after="0"/>
            </w:pPr>
            <w:r>
              <w:rPr>
                <w:rFonts w:ascii="Calibri" w:hAnsi="Calibri"/>
                <w:b w:val="0"/>
                <w:color w:val="1F2937"/>
                <w:sz w:val="16"/>
              </w:rPr>
              <w:t>Initial template tailoring</w:t>
            </w:r>
          </w:p>
        </w:tc>
        <w:tc>
          <w:tcPr>
            <w:tcW w:type="dxa" w:w="2102"/>
            <w:tcMar>
              <w:top w:w="80" w:type="dxa"/>
              <w:start w:w="110" w:type="dxa"/>
              <w:bottom w:w="80" w:type="dxa"/>
              <w:end w:w="110" w:type="dxa"/>
            </w:tcMar>
            <w:vAlign w:val="center"/>
          </w:tcPr>
          <w:p>
            <w:pPr>
              <w:widowControl/>
              <w:spacing w:after="0"/>
            </w:pPr>
            <w:r>
              <w:rPr>
                <w:rFonts w:ascii="Calibri" w:hAnsi="Calibri"/>
                <w:b w:val="0"/>
                <w:color w:val="1F2937"/>
                <w:sz w:val="16"/>
              </w:rPr>
              <w:t>[NAME]</w:t>
            </w:r>
          </w:p>
        </w:tc>
      </w:tr>
      <w:tr>
        <w:trPr>
          <w:cantSplit/>
        </w:trPr>
        <w:tc>
          <w:tcPr>
            <w:tcW w:type="dxa" w:w="1080"/>
            <w:tcMar>
              <w:top w:w="80" w:type="dxa"/>
              <w:start w:w="110" w:type="dxa"/>
              <w:bottom w:w="80" w:type="dxa"/>
              <w:end w:w="110" w:type="dxa"/>
            </w:tcMar>
            <w:vAlign w:val="center"/>
            <w:shd w:fill="F8FAFC"/>
          </w:tcPr>
          <w:p>
            <w:pPr>
              <w:widowControl/>
              <w:spacing w:after="0"/>
            </w:pPr>
            <w:r>
              <w:rPr>
                <w:rFonts w:ascii="Calibri" w:hAnsi="Calibri"/>
                <w:b w:val="0"/>
                <w:color w:val="1F2937"/>
                <w:sz w:val="16"/>
              </w:rPr>
              <w:t>1.0</w:t>
            </w:r>
          </w:p>
        </w:tc>
        <w:tc>
          <w:tcPr>
            <w:tcW w:type="dxa" w:w="1440"/>
            <w:tcMar>
              <w:top w:w="80" w:type="dxa"/>
              <w:start w:w="110" w:type="dxa"/>
              <w:bottom w:w="80" w:type="dxa"/>
              <w:end w:w="110" w:type="dxa"/>
            </w:tcMar>
            <w:vAlign w:val="center"/>
            <w:shd w:fill="F8FAFC"/>
          </w:tcPr>
          <w:p>
            <w:pPr>
              <w:widowControl/>
              <w:spacing w:after="0"/>
            </w:pPr>
            <w:r>
              <w:rPr>
                <w:rFonts w:ascii="Calibri" w:hAnsi="Calibri"/>
                <w:b w:val="0"/>
                <w:color w:val="1F2937"/>
                <w:sz w:val="16"/>
              </w:rPr>
              <w:t>[DATE]</w:t>
            </w:r>
          </w:p>
        </w:tc>
        <w:tc>
          <w:tcPr>
            <w:tcW w:type="dxa" w:w="5256"/>
            <w:tcMar>
              <w:top w:w="80" w:type="dxa"/>
              <w:start w:w="110" w:type="dxa"/>
              <w:bottom w:w="80" w:type="dxa"/>
              <w:end w:w="110" w:type="dxa"/>
            </w:tcMar>
            <w:vAlign w:val="center"/>
            <w:shd w:fill="F8FAFC"/>
          </w:tcPr>
          <w:p>
            <w:pPr>
              <w:widowControl/>
              <w:spacing w:after="0"/>
            </w:pPr>
            <w:r>
              <w:rPr>
                <w:rFonts w:ascii="Calibri" w:hAnsi="Calibri"/>
                <w:b w:val="0"/>
                <w:color w:val="1F2937"/>
                <w:sz w:val="16"/>
              </w:rPr>
              <w:t>First approved version</w:t>
            </w:r>
          </w:p>
        </w:tc>
        <w:tc>
          <w:tcPr>
            <w:tcW w:type="dxa" w:w="2102"/>
            <w:tcMar>
              <w:top w:w="80" w:type="dxa"/>
              <w:start w:w="110" w:type="dxa"/>
              <w:bottom w:w="80" w:type="dxa"/>
              <w:end w:w="110" w:type="dxa"/>
            </w:tcMar>
            <w:vAlign w:val="center"/>
            <w:shd w:fill="F8FAFC"/>
          </w:tcPr>
          <w:p>
            <w:pPr>
              <w:widowControl/>
              <w:spacing w:after="0"/>
            </w:pPr>
            <w:r>
              <w:rPr>
                <w:rFonts w:ascii="Calibri" w:hAnsi="Calibri"/>
                <w:b w:val="0"/>
                <w:color w:val="1F2937"/>
                <w:sz w:val="16"/>
              </w:rPr>
              <w:t>[NAME]</w:t>
            </w:r>
          </w:p>
        </w:tc>
      </w:tr>
    </w:tbl>
    <w:p>
      <w:pPr>
        <w:widowControl/>
        <w:spacing w:after="0"/>
      </w:pPr>
    </w:p>
    <w:p>
      <w:pPr>
        <w:pStyle w:val="Heading1"/>
        <w:widowControl/>
      </w:pPr>
      <w:r>
        <w:t>Definitions and interpretation</w:t>
      </w:r>
    </w:p>
    <w:tbl>
      <w:tblPr>
        <w:tblStyle w:val="TableGrid"/>
        <w:tblW w:type="auto" w:w="0"/>
        <w:jc w:val="center"/>
        <w:tblLayout w:type="fixed"/>
        <w:tblLook w:firstColumn="1" w:firstRow="1" w:lastColumn="0" w:lastRow="0" w:noHBand="0" w:noVBand="1" w:val="04A0"/>
      </w:tblPr>
      <w:tblGrid>
        <w:gridCol w:w="2736"/>
        <w:gridCol w:w="7142"/>
      </w:tblGrid>
      <w:tr>
        <w:trPr>
          <w:tblHeader w:val="true"/>
        </w:trPr>
        <w:tc>
          <w:tcPr>
            <w:tcW w:type="dxa" w:w="2736"/>
            <w:shd w:fill="17365D"/>
            <w:tcMar>
              <w:top w:w="80" w:type="dxa"/>
              <w:start w:w="110" w:type="dxa"/>
              <w:bottom w:w="80" w:type="dxa"/>
              <w:end w:w="110" w:type="dxa"/>
            </w:tcMar>
            <w:vAlign w:val="center"/>
          </w:tcPr>
          <w:p>
            <w:pPr>
              <w:widowControl/>
            </w:pPr>
            <w:r>
              <w:rPr>
                <w:rFonts w:ascii="Calibri" w:hAnsi="Calibri"/>
                <w:b/>
                <w:color w:val="FFFFFF"/>
                <w:sz w:val="16"/>
              </w:rPr>
              <w:t>Term</w:t>
            </w:r>
          </w:p>
        </w:tc>
        <w:tc>
          <w:tcPr>
            <w:tcW w:type="dxa" w:w="7142"/>
            <w:shd w:fill="17365D"/>
            <w:tcMar>
              <w:top w:w="80" w:type="dxa"/>
              <w:start w:w="110" w:type="dxa"/>
              <w:bottom w:w="80" w:type="dxa"/>
              <w:end w:w="110" w:type="dxa"/>
            </w:tcMar>
            <w:vAlign w:val="center"/>
          </w:tcPr>
          <w:p>
            <w:pPr>
              <w:widowControl/>
            </w:pPr>
            <w:r>
              <w:rPr>
                <w:rFonts w:ascii="Calibri" w:hAnsi="Calibri"/>
                <w:b/>
                <w:color w:val="FFFFFF"/>
                <w:sz w:val="16"/>
              </w:rPr>
              <w:t>Meaning</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Critical or important function</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 function whose disruption would materially impair financial performance, soundness, continuity of services or compliance with authorisation conditions or financial-services law.</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DORA</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Regulation (EU) 2022/2554 as incorporated into the EEA Agreement and given force in Iceland by Act No. 78/2025.</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ICT asset</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 software or hardware asset in network and information systems used by the firm.</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ICT risk</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A reasonably identifiable circumstance relating to network and information systems that may compromise security, operations or services.</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Management body</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The board of directors or other body performing management-body responsibilities.</w:t>
            </w:r>
          </w:p>
        </w:tc>
      </w:tr>
      <w:tr>
        <w:trPr>
          <w:cantSplit/>
        </w:trPr>
        <w:tc>
          <w:tcPr>
            <w:tcW w:type="dxa" w:w="2736"/>
            <w:tcMar>
              <w:top w:w="80" w:type="dxa"/>
              <w:start w:w="110" w:type="dxa"/>
              <w:bottom w:w="80" w:type="dxa"/>
              <w:end w:w="110" w:type="dxa"/>
            </w:tcMar>
            <w:vAlign w:val="center"/>
            <w:shd w:fill="F8FAFC"/>
          </w:tcPr>
          <w:p>
            <w:pPr>
              <w:widowControl/>
              <w:spacing w:after="0"/>
            </w:pPr>
            <w:r>
              <w:rPr>
                <w:rFonts w:ascii="Calibri" w:hAnsi="Calibri"/>
                <w:b/>
                <w:color w:val="1F4D78"/>
                <w:sz w:val="16"/>
              </w:rPr>
              <w:t>Privileged access</w:t>
            </w:r>
          </w:p>
        </w:tc>
        <w:tc>
          <w:tcPr>
            <w:tcW w:type="dxa" w:w="7142"/>
            <w:tcMar>
              <w:top w:w="80" w:type="dxa"/>
              <w:start w:w="110" w:type="dxa"/>
              <w:bottom w:w="80" w:type="dxa"/>
              <w:end w:w="110" w:type="dxa"/>
            </w:tcMar>
            <w:vAlign w:val="center"/>
            <w:shd w:fill="F8FAFC"/>
          </w:tcPr>
          <w:p>
            <w:pPr>
              <w:widowControl/>
              <w:spacing w:after="0"/>
            </w:pPr>
            <w:r>
              <w:rPr>
                <w:rFonts w:ascii="Calibri" w:hAnsi="Calibri"/>
                <w:b w:val="0"/>
                <w:color w:val="1F2937"/>
                <w:sz w:val="16"/>
              </w:rPr>
              <w:t>Access rights enabling administration, security configuration or circumvention of normal controls.</w:t>
            </w:r>
          </w:p>
        </w:tc>
      </w:tr>
      <w:tr>
        <w:trPr>
          <w:cantSplit/>
        </w:trPr>
        <w:tc>
          <w:tcPr>
            <w:tcW w:type="dxa" w:w="2736"/>
            <w:tcMar>
              <w:top w:w="80" w:type="dxa"/>
              <w:start w:w="110" w:type="dxa"/>
              <w:bottom w:w="80" w:type="dxa"/>
              <w:end w:w="110" w:type="dxa"/>
            </w:tcMar>
            <w:vAlign w:val="center"/>
          </w:tcPr>
          <w:p>
            <w:pPr>
              <w:widowControl/>
              <w:spacing w:after="0"/>
            </w:pPr>
            <w:r>
              <w:rPr>
                <w:rFonts w:ascii="Calibri" w:hAnsi="Calibri"/>
                <w:b/>
                <w:color w:val="1F4D78"/>
                <w:sz w:val="16"/>
              </w:rPr>
              <w:t>Security event</w:t>
            </w:r>
          </w:p>
        </w:tc>
        <w:tc>
          <w:tcPr>
            <w:tcW w:type="dxa" w:w="7142"/>
            <w:tcMar>
              <w:top w:w="80" w:type="dxa"/>
              <w:start w:w="110" w:type="dxa"/>
              <w:bottom w:w="80" w:type="dxa"/>
              <w:end w:w="110" w:type="dxa"/>
            </w:tcMar>
            <w:vAlign w:val="center"/>
          </w:tcPr>
          <w:p>
            <w:pPr>
              <w:widowControl/>
              <w:spacing w:after="0"/>
            </w:pPr>
            <w:r>
              <w:rPr>
                <w:rFonts w:ascii="Calibri" w:hAnsi="Calibri"/>
                <w:b w:val="0"/>
                <w:color w:val="1F2937"/>
                <w:sz w:val="16"/>
              </w:rPr>
              <w:t>An identified occurrence indicating a possible breach, control failure or previously unknown security-relevant situation.</w:t>
            </w:r>
          </w:p>
        </w:tc>
      </w:tr>
    </w:tbl>
    <w:p>
      <w:pPr>
        <w:widowControl/>
        <w:spacing w:after="0"/>
      </w:pPr>
    </w:p>
    <w:p>
      <w:pPr>
        <w:pStyle w:val="Heading1"/>
        <w:widowControl/>
      </w:pPr>
      <w:r>
        <w:t>1. Purpose, scope and policy outcomes</w:t>
      </w:r>
    </w:p>
    <w:p>
      <w:pPr>
        <w:widowControl/>
      </w:pPr>
      <w:r>
        <w:t>This Policy establishes proportionate information-security and ICT-operations rules for all personnel, devices, systems, information assets, locations and ICT services used by the firm. It implements the information-security policy required by Article 29 of Delegated Regulation 2024/1774 and supports the simplified framework in D01.</w:t>
      </w:r>
    </w:p>
    <w:p>
      <w:pPr>
        <w:pStyle w:val="ListBullet"/>
        <w:widowControl/>
        <w:ind w:left="461"/>
      </w:pPr>
      <w:r>
        <w:t>protect availability, authenticity, integrity and confidentiality of data and ICT systems;</w:t>
      </w:r>
    </w:p>
    <w:p>
      <w:pPr>
        <w:pStyle w:val="ListBullet"/>
        <w:widowControl/>
        <w:ind w:left="461"/>
      </w:pPr>
      <w:r>
        <w:t>maintain resilient, updated and appropriately configured systems, protocols and tools;</w:t>
      </w:r>
    </w:p>
    <w:p>
      <w:pPr>
        <w:pStyle w:val="ListBullet"/>
        <w:widowControl/>
        <w:ind w:left="461"/>
      </w:pPr>
      <w:r>
        <w:t>identify anomalous activity and vulnerabilities promptly;</w:t>
      </w:r>
    </w:p>
    <w:p>
      <w:pPr>
        <w:pStyle w:val="ListBullet"/>
        <w:widowControl/>
        <w:ind w:left="461"/>
      </w:pPr>
      <w:r>
        <w:t>control access on need-to-know and least-privilege principles;</w:t>
      </w:r>
    </w:p>
    <w:p>
      <w:pPr>
        <w:pStyle w:val="ListBullet"/>
        <w:widowControl/>
        <w:ind w:left="461"/>
      </w:pPr>
      <w:r>
        <w:t>manage acquisition, maintenance, projects and change safely;</w:t>
      </w:r>
    </w:p>
    <w:p>
      <w:pPr>
        <w:pStyle w:val="ListBullet"/>
        <w:widowControl/>
        <w:ind w:left="461"/>
      </w:pPr>
      <w:r>
        <w:t>produce current evidence in D14 for each material control.</w:t>
      </w:r>
    </w:p>
    <w:p>
      <w:pPr>
        <w:pStyle w:val="Heading1"/>
        <w:widowControl/>
      </w:pPr>
      <w:r>
        <w:t>2. Governance, ownership and segregation</w:t>
      </w:r>
    </w:p>
    <w:p>
      <w:pPr>
        <w:widowControl/>
      </w:pPr>
      <w:r>
        <w:t>The management body approves this Policy and receives material exceptions, critical control failures and trends. The Policy Owner maintains the control catalogue, assigns control owners and confirms that implementation evidence is indexed in D14. Operational performance and independent review shall be segregated where proportionate; compensating review is required where staffing prevents full segregation.</w:t>
      </w:r>
    </w:p>
    <w:tbl>
      <w:tblPr>
        <w:tblStyle w:val="TableGrid"/>
        <w:tblW w:type="auto" w:w="0"/>
        <w:jc w:val="center"/>
        <w:tblLayout w:type="fixed"/>
        <w:tblLook w:firstColumn="1" w:firstRow="1" w:lastColumn="0" w:lastRow="0" w:noHBand="0" w:noVBand="1" w:val="04A0"/>
      </w:tblPr>
      <w:tblGrid>
        <w:gridCol w:w="2951"/>
        <w:gridCol w:w="6926"/>
      </w:tblGrid>
      <w:tr>
        <w:trPr>
          <w:tblHeader w:val="true"/>
        </w:trPr>
        <w:tc>
          <w:tcPr>
            <w:tcW w:type="dxa" w:w="2951"/>
            <w:shd w:fill="17365D"/>
            <w:tcMar>
              <w:top w:w="80" w:type="dxa"/>
              <w:start w:w="110" w:type="dxa"/>
              <w:bottom w:w="80" w:type="dxa"/>
              <w:end w:w="110" w:type="dxa"/>
            </w:tcMar>
            <w:vAlign w:val="center"/>
          </w:tcPr>
          <w:p>
            <w:pPr>
              <w:widowControl/>
            </w:pPr>
            <w:r>
              <w:rPr>
                <w:rFonts w:ascii="Calibri" w:hAnsi="Calibri"/>
                <w:b/>
                <w:color w:val="FFFFFF"/>
                <w:sz w:val="16"/>
              </w:rPr>
              <w:t>Role</w:t>
            </w:r>
          </w:p>
        </w:tc>
        <w:tc>
          <w:tcPr>
            <w:tcW w:type="dxa" w:w="6926"/>
            <w:shd w:fill="17365D"/>
            <w:tcMar>
              <w:top w:w="80" w:type="dxa"/>
              <w:start w:w="110" w:type="dxa"/>
              <w:bottom w:w="80" w:type="dxa"/>
              <w:end w:w="110" w:type="dxa"/>
            </w:tcMar>
            <w:vAlign w:val="center"/>
          </w:tcPr>
          <w:p>
            <w:pPr>
              <w:widowControl/>
            </w:pPr>
            <w:r>
              <w:rPr>
                <w:rFonts w:ascii="Calibri" w:hAnsi="Calibri"/>
                <w:b/>
                <w:color w:val="FFFFFF"/>
                <w:sz w:val="16"/>
              </w:rPr>
              <w:t>Minimum responsibility</w:t>
            </w:r>
          </w:p>
        </w:tc>
      </w:tr>
      <w:tr>
        <w:trPr>
          <w:cantSplit/>
        </w:trPr>
        <w:tc>
          <w:tcPr>
            <w:tcW w:type="dxa" w:w="2951"/>
            <w:tcMar>
              <w:top w:w="80" w:type="dxa"/>
              <w:start w:w="110" w:type="dxa"/>
              <w:bottom w:w="80" w:type="dxa"/>
              <w:end w:w="110" w:type="dxa"/>
            </w:tcMar>
            <w:vAlign w:val="center"/>
          </w:tcPr>
          <w:p>
            <w:pPr>
              <w:widowControl/>
              <w:spacing w:after="0"/>
            </w:pPr>
            <w:r>
              <w:rPr>
                <w:rFonts w:ascii="Calibri" w:hAnsi="Calibri"/>
                <w:b/>
                <w:color w:val="1F4D78"/>
                <w:sz w:val="16"/>
              </w:rPr>
              <w:t>Management body</w:t>
            </w:r>
          </w:p>
        </w:tc>
        <w:tc>
          <w:tcPr>
            <w:tcW w:type="dxa" w:w="6926"/>
            <w:tcMar>
              <w:top w:w="80" w:type="dxa"/>
              <w:start w:w="110" w:type="dxa"/>
              <w:bottom w:w="80" w:type="dxa"/>
              <w:end w:w="110" w:type="dxa"/>
            </w:tcMar>
            <w:vAlign w:val="center"/>
          </w:tcPr>
          <w:p>
            <w:pPr>
              <w:widowControl/>
              <w:spacing w:after="0"/>
            </w:pPr>
            <w:r>
              <w:rPr>
                <w:rFonts w:ascii="Calibri" w:hAnsi="Calibri"/>
                <w:b w:val="0"/>
                <w:color w:val="1F2937"/>
                <w:sz w:val="16"/>
              </w:rPr>
              <w:t>Approve policy; challenge material risk; approve intolerable residual risk and major exceptions.</w:t>
            </w:r>
          </w:p>
        </w:tc>
      </w:tr>
      <w:tr>
        <w:trPr>
          <w:cantSplit/>
        </w:trPr>
        <w:tc>
          <w:tcPr>
            <w:tcW w:type="dxa" w:w="2951"/>
            <w:tcMar>
              <w:top w:w="80" w:type="dxa"/>
              <w:start w:w="110" w:type="dxa"/>
              <w:bottom w:w="80" w:type="dxa"/>
              <w:end w:w="110" w:type="dxa"/>
            </w:tcMar>
            <w:vAlign w:val="center"/>
            <w:shd w:fill="F8FAFC"/>
          </w:tcPr>
          <w:p>
            <w:pPr>
              <w:widowControl/>
              <w:spacing w:after="0"/>
            </w:pPr>
            <w:r>
              <w:rPr>
                <w:rFonts w:ascii="Calibri" w:hAnsi="Calibri"/>
                <w:b/>
                <w:color w:val="1F4D78"/>
                <w:sz w:val="16"/>
              </w:rPr>
              <w:t>Executive accountable for DORA</w:t>
            </w:r>
          </w:p>
        </w:tc>
        <w:tc>
          <w:tcPr>
            <w:tcW w:type="dxa" w:w="6926"/>
            <w:tcMar>
              <w:top w:w="80" w:type="dxa"/>
              <w:start w:w="110" w:type="dxa"/>
              <w:bottom w:w="80" w:type="dxa"/>
              <w:end w:w="110" w:type="dxa"/>
            </w:tcMar>
            <w:vAlign w:val="center"/>
            <w:shd w:fill="F8FAFC"/>
          </w:tcPr>
          <w:p>
            <w:pPr>
              <w:widowControl/>
              <w:spacing w:after="0"/>
            </w:pPr>
            <w:r>
              <w:rPr>
                <w:rFonts w:ascii="Calibri" w:hAnsi="Calibri"/>
                <w:b w:val="0"/>
                <w:color w:val="1F2937"/>
                <w:sz w:val="16"/>
              </w:rPr>
              <w:t>Ensure resources, ownership, implementation and escalation.</w:t>
            </w:r>
          </w:p>
        </w:tc>
      </w:tr>
      <w:tr>
        <w:trPr>
          <w:cantSplit/>
        </w:trPr>
        <w:tc>
          <w:tcPr>
            <w:tcW w:type="dxa" w:w="2951"/>
            <w:tcMar>
              <w:top w:w="80" w:type="dxa"/>
              <w:start w:w="110" w:type="dxa"/>
              <w:bottom w:w="80" w:type="dxa"/>
              <w:end w:w="110" w:type="dxa"/>
            </w:tcMar>
            <w:vAlign w:val="center"/>
          </w:tcPr>
          <w:p>
            <w:pPr>
              <w:widowControl/>
              <w:spacing w:after="0"/>
            </w:pPr>
            <w:r>
              <w:rPr>
                <w:rFonts w:ascii="Calibri" w:hAnsi="Calibri"/>
                <w:b/>
                <w:color w:val="1F4D78"/>
                <w:sz w:val="16"/>
              </w:rPr>
              <w:t>ICT / security owner</w:t>
            </w:r>
          </w:p>
        </w:tc>
        <w:tc>
          <w:tcPr>
            <w:tcW w:type="dxa" w:w="6926"/>
            <w:tcMar>
              <w:top w:w="80" w:type="dxa"/>
              <w:start w:w="110" w:type="dxa"/>
              <w:bottom w:w="80" w:type="dxa"/>
              <w:end w:w="110" w:type="dxa"/>
            </w:tcMar>
            <w:vAlign w:val="center"/>
          </w:tcPr>
          <w:p>
            <w:pPr>
              <w:widowControl/>
              <w:spacing w:after="0"/>
            </w:pPr>
            <w:r>
              <w:rPr>
                <w:rFonts w:ascii="Calibri" w:hAnsi="Calibri"/>
                <w:b w:val="0"/>
                <w:color w:val="1F2937"/>
                <w:sz w:val="16"/>
              </w:rPr>
              <w:t>Operate and monitor controls; maintain standards; coordinate providers.</w:t>
            </w:r>
          </w:p>
        </w:tc>
      </w:tr>
      <w:tr>
        <w:trPr>
          <w:cantSplit/>
        </w:trPr>
        <w:tc>
          <w:tcPr>
            <w:tcW w:type="dxa" w:w="2951"/>
            <w:tcMar>
              <w:top w:w="80" w:type="dxa"/>
              <w:start w:w="110" w:type="dxa"/>
              <w:bottom w:w="80" w:type="dxa"/>
              <w:end w:w="110" w:type="dxa"/>
            </w:tcMar>
            <w:vAlign w:val="center"/>
            <w:shd w:fill="F8FAFC"/>
          </w:tcPr>
          <w:p>
            <w:pPr>
              <w:widowControl/>
              <w:spacing w:after="0"/>
            </w:pPr>
            <w:r>
              <w:rPr>
                <w:rFonts w:ascii="Calibri" w:hAnsi="Calibri"/>
                <w:b/>
                <w:color w:val="1F4D78"/>
                <w:sz w:val="16"/>
              </w:rPr>
              <w:t>Asset / business owner</w:t>
            </w:r>
          </w:p>
        </w:tc>
        <w:tc>
          <w:tcPr>
            <w:tcW w:type="dxa" w:w="6926"/>
            <w:tcMar>
              <w:top w:w="80" w:type="dxa"/>
              <w:start w:w="110" w:type="dxa"/>
              <w:bottom w:w="80" w:type="dxa"/>
              <w:end w:w="110" w:type="dxa"/>
            </w:tcMar>
            <w:vAlign w:val="center"/>
            <w:shd w:fill="F8FAFC"/>
          </w:tcPr>
          <w:p>
            <w:pPr>
              <w:widowControl/>
              <w:spacing w:after="0"/>
            </w:pPr>
            <w:r>
              <w:rPr>
                <w:rFonts w:ascii="Calibri" w:hAnsi="Calibri"/>
                <w:b w:val="0"/>
                <w:color w:val="1F2937"/>
                <w:sz w:val="16"/>
              </w:rPr>
              <w:t>Classify assets; approve access; assess impact and control needs.</w:t>
            </w:r>
          </w:p>
        </w:tc>
      </w:tr>
      <w:tr>
        <w:trPr>
          <w:cantSplit/>
        </w:trPr>
        <w:tc>
          <w:tcPr>
            <w:tcW w:type="dxa" w:w="2951"/>
            <w:tcMar>
              <w:top w:w="80" w:type="dxa"/>
              <w:start w:w="110" w:type="dxa"/>
              <w:bottom w:w="80" w:type="dxa"/>
              <w:end w:w="110" w:type="dxa"/>
            </w:tcMar>
            <w:vAlign w:val="center"/>
          </w:tcPr>
          <w:p>
            <w:pPr>
              <w:widowControl/>
              <w:spacing w:after="0"/>
            </w:pPr>
            <w:r>
              <w:rPr>
                <w:rFonts w:ascii="Calibri" w:hAnsi="Calibri"/>
                <w:b/>
                <w:color w:val="1F4D78"/>
                <w:sz w:val="16"/>
              </w:rPr>
              <w:t>Compliance / risk</w:t>
            </w:r>
          </w:p>
        </w:tc>
        <w:tc>
          <w:tcPr>
            <w:tcW w:type="dxa" w:w="6926"/>
            <w:tcMar>
              <w:top w:w="80" w:type="dxa"/>
              <w:start w:w="110" w:type="dxa"/>
              <w:bottom w:w="80" w:type="dxa"/>
              <w:end w:w="110" w:type="dxa"/>
            </w:tcMar>
            <w:vAlign w:val="center"/>
          </w:tcPr>
          <w:p>
            <w:pPr>
              <w:widowControl/>
              <w:spacing w:after="0"/>
            </w:pPr>
            <w:r>
              <w:rPr>
                <w:rFonts w:ascii="Calibri" w:hAnsi="Calibri"/>
                <w:b w:val="0"/>
                <w:color w:val="1F2937"/>
                <w:sz w:val="16"/>
              </w:rPr>
              <w:t>Challenge design, monitor obligations and escalate gaps.</w:t>
            </w:r>
          </w:p>
        </w:tc>
      </w:tr>
      <w:tr>
        <w:trPr>
          <w:cantSplit/>
        </w:trPr>
        <w:tc>
          <w:tcPr>
            <w:tcW w:type="dxa" w:w="2951"/>
            <w:tcMar>
              <w:top w:w="80" w:type="dxa"/>
              <w:start w:w="110" w:type="dxa"/>
              <w:bottom w:w="80" w:type="dxa"/>
              <w:end w:w="110" w:type="dxa"/>
            </w:tcMar>
            <w:vAlign w:val="center"/>
            <w:shd w:fill="F8FAFC"/>
          </w:tcPr>
          <w:p>
            <w:pPr>
              <w:widowControl/>
              <w:spacing w:after="0"/>
            </w:pPr>
            <w:r>
              <w:rPr>
                <w:rFonts w:ascii="Calibri" w:hAnsi="Calibri"/>
                <w:b/>
                <w:color w:val="1F4D78"/>
                <w:sz w:val="16"/>
              </w:rPr>
              <w:t>Personnel</w:t>
            </w:r>
          </w:p>
        </w:tc>
        <w:tc>
          <w:tcPr>
            <w:tcW w:type="dxa" w:w="6926"/>
            <w:tcMar>
              <w:top w:w="80" w:type="dxa"/>
              <w:start w:w="110" w:type="dxa"/>
              <w:bottom w:w="80" w:type="dxa"/>
              <w:end w:w="110" w:type="dxa"/>
            </w:tcMar>
            <w:vAlign w:val="center"/>
            <w:shd w:fill="F8FAFC"/>
          </w:tcPr>
          <w:p>
            <w:pPr>
              <w:widowControl/>
              <w:spacing w:after="0"/>
            </w:pPr>
            <w:r>
              <w:rPr>
                <w:rFonts w:ascii="Calibri" w:hAnsi="Calibri"/>
                <w:b w:val="0"/>
                <w:color w:val="1F2937"/>
                <w:sz w:val="16"/>
              </w:rPr>
              <w:t>Comply, protect credentials and report suspicious events immediately.</w:t>
            </w:r>
          </w:p>
        </w:tc>
      </w:tr>
    </w:tbl>
    <w:p>
      <w:pPr>
        <w:widowControl/>
        <w:spacing w:after="0"/>
      </w:pPr>
    </w:p>
    <w:p>
      <w:pPr>
        <w:pStyle w:val="Heading1"/>
        <w:widowControl/>
      </w:pPr>
      <w:r>
        <w:t>3. Asset management and information classification</w:t>
      </w:r>
    </w:p>
    <w:p>
      <w:pPr>
        <w:widowControl/>
      </w:pPr>
      <w:r>
        <w:t>Every in-scope information and ICT asset shall have an owner, classification, location, lifecycle status and relationship to business functions recorded in D04.</w:t>
      </w:r>
    </w:p>
    <w:p>
      <w:pPr>
        <w:widowControl/>
      </w:pPr>
      <w:r>
        <w:t>Unauthorised, unsupported or unrecorded hardware, software, cloud services and removable media are prohibited.</w:t>
      </w:r>
    </w:p>
    <w:p>
      <w:pPr>
        <w:widowControl/>
      </w:pPr>
      <w:r>
        <w:t>Information shall be classified [PUBLIC / INTERNAL / CONFIDENTIAL / RESTRICTED] using impact on confidentiality, integrity, availability, authenticity, regulatory duties and clients.</w:t>
      </w:r>
    </w:p>
    <w:p>
      <w:pPr>
        <w:widowControl/>
      </w:pPr>
      <w:r>
        <w:t>Handling, access, transmission, storage, backup, retention and destruction rules shall match classification. Labels shall be applied where technically and operationally feasible.</w:t>
      </w:r>
    </w:p>
    <w:p>
      <w:pPr>
        <w:widowControl/>
      </w:pPr>
      <w:r>
        <w:t>Inventory reconciliation shall occur [QUARTERLY] and after material onboarding, disposal or architecture change.</w:t>
      </w:r>
    </w:p>
    <w:p>
      <w:pPr>
        <w:pStyle w:val="Heading1"/>
        <w:widowControl/>
      </w:pPr>
      <w:r>
        <w:t>4. People security and acceptable use</w:t>
      </w:r>
    </w:p>
    <w:p>
      <w:pPr>
        <w:widowControl/>
      </w:pPr>
      <w:r>
        <w:t>Role and access requirements shall be identified before recruitment or engagement; screening shall be proportionate to role risk and law.</w:t>
      </w:r>
    </w:p>
    <w:p>
      <w:pPr>
        <w:widowControl/>
      </w:pPr>
      <w:r>
        <w:t>Confidentiality, acceptable-use, security-awareness and incident-reporting duties shall be documented and acknowledged.</w:t>
      </w:r>
    </w:p>
    <w:p>
      <w:pPr>
        <w:widowControl/>
      </w:pPr>
      <w:r>
        <w:t>Joiner, mover and leaver events shall trigger timely access provisioning, review or revocation. Departing personnel access shall be disabled no later than the effective termination time unless a documented legal/HR hold requires a controlled alternative.</w:t>
      </w:r>
    </w:p>
    <w:p>
      <w:pPr>
        <w:widowControl/>
      </w:pPr>
      <w:r>
        <w:t>Users shall not share credentials, bypass security measures, install unauthorised software, move data to personal services or use firm systems for unlawful activity.</w:t>
      </w:r>
    </w:p>
    <w:p>
      <w:pPr>
        <w:widowControl/>
      </w:pPr>
      <w:r>
        <w:t>Remote work shall use approved devices, secure connections, privacy safeguards and physical protection appropriate to the information handled.</w:t>
      </w:r>
    </w:p>
    <w:p>
      <w:pPr>
        <w:pStyle w:val="Heading1"/>
        <w:widowControl/>
      </w:pPr>
      <w:r>
        <w:t>5. Identity and access management</w:t>
      </w:r>
    </w:p>
    <w:tbl>
      <w:tblPr>
        <w:tblStyle w:val="TableGrid"/>
        <w:tblW w:type="auto" w:w="0"/>
        <w:jc w:val="center"/>
        <w:tblLayout w:type="fixed"/>
        <w:tblLook w:firstColumn="1" w:firstRow="1" w:lastColumn="0" w:lastRow="0" w:noHBand="0" w:noVBand="1" w:val="04A0"/>
      </w:tblPr>
      <w:tblGrid>
        <w:gridCol w:w="1655"/>
        <w:gridCol w:w="5400"/>
        <w:gridCol w:w="2822"/>
      </w:tblGrid>
      <w:tr>
        <w:trPr>
          <w:tblHeader w:val="true"/>
        </w:trPr>
        <w:tc>
          <w:tcPr>
            <w:tcW w:type="dxa" w:w="1655"/>
            <w:shd w:fill="17365D"/>
            <w:tcMar>
              <w:top w:w="80" w:type="dxa"/>
              <w:start w:w="110" w:type="dxa"/>
              <w:bottom w:w="80" w:type="dxa"/>
              <w:end w:w="110" w:type="dxa"/>
            </w:tcMar>
            <w:vAlign w:val="center"/>
          </w:tcPr>
          <w:p>
            <w:pPr>
              <w:widowControl/>
            </w:pPr>
            <w:r>
              <w:rPr>
                <w:rFonts w:ascii="Calibri" w:hAnsi="Calibri"/>
                <w:b/>
                <w:color w:val="FFFFFF"/>
                <w:sz w:val="15"/>
              </w:rPr>
              <w:t>Control</w:t>
            </w:r>
          </w:p>
        </w:tc>
        <w:tc>
          <w:tcPr>
            <w:tcW w:type="dxa" w:w="5400"/>
            <w:shd w:fill="17365D"/>
            <w:tcMar>
              <w:top w:w="80" w:type="dxa"/>
              <w:start w:w="110" w:type="dxa"/>
              <w:bottom w:w="80" w:type="dxa"/>
              <w:end w:w="110" w:type="dxa"/>
            </w:tcMar>
            <w:vAlign w:val="center"/>
          </w:tcPr>
          <w:p>
            <w:pPr>
              <w:widowControl/>
            </w:pPr>
            <w:r>
              <w:rPr>
                <w:rFonts w:ascii="Calibri" w:hAnsi="Calibri"/>
                <w:b/>
                <w:color w:val="FFFFFF"/>
                <w:sz w:val="15"/>
              </w:rPr>
              <w:t>Mandatory rule</w:t>
            </w:r>
          </w:p>
        </w:tc>
        <w:tc>
          <w:tcPr>
            <w:tcW w:type="dxa" w:w="2822"/>
            <w:shd w:fill="17365D"/>
            <w:tcMar>
              <w:top w:w="80" w:type="dxa"/>
              <w:start w:w="110" w:type="dxa"/>
              <w:bottom w:w="80" w:type="dxa"/>
              <w:end w:w="110" w:type="dxa"/>
            </w:tcMar>
            <w:vAlign w:val="center"/>
          </w:tcPr>
          <w:p>
            <w:pPr>
              <w:widowControl/>
            </w:pPr>
            <w:r>
              <w:rPr>
                <w:rFonts w:ascii="Calibri" w:hAnsi="Calibri"/>
                <w:b/>
                <w:color w:val="FFFFFF"/>
                <w:sz w:val="15"/>
              </w:rPr>
              <w:t>Minimum evidence</w:t>
            </w:r>
          </w:p>
        </w:tc>
      </w:tr>
      <w:tr>
        <w:trPr>
          <w:cantSplit/>
        </w:trPr>
        <w:tc>
          <w:tcPr>
            <w:tcW w:type="dxa" w:w="1655"/>
            <w:tcMar>
              <w:top w:w="80" w:type="dxa"/>
              <w:start w:w="110" w:type="dxa"/>
              <w:bottom w:w="80" w:type="dxa"/>
              <w:end w:w="110" w:type="dxa"/>
            </w:tcMar>
            <w:vAlign w:val="center"/>
          </w:tcPr>
          <w:p>
            <w:pPr>
              <w:widowControl/>
              <w:spacing w:after="0"/>
            </w:pPr>
            <w:r>
              <w:rPr>
                <w:rFonts w:ascii="Calibri" w:hAnsi="Calibri"/>
                <w:b/>
                <w:color w:val="1F4D78"/>
                <w:sz w:val="15"/>
              </w:rPr>
              <w:t>Unique identity</w:t>
            </w:r>
          </w:p>
        </w:tc>
        <w:tc>
          <w:tcPr>
            <w:tcW w:type="dxa" w:w="5400"/>
            <w:tcMar>
              <w:top w:w="80" w:type="dxa"/>
              <w:start w:w="110" w:type="dxa"/>
              <w:bottom w:w="80" w:type="dxa"/>
              <w:end w:w="110" w:type="dxa"/>
            </w:tcMar>
            <w:vAlign w:val="center"/>
          </w:tcPr>
          <w:p>
            <w:pPr>
              <w:widowControl/>
              <w:spacing w:after="0"/>
            </w:pPr>
            <w:r>
              <w:rPr>
                <w:rFonts w:ascii="Calibri" w:hAnsi="Calibri"/>
                <w:b w:val="0"/>
                <w:color w:val="1F2937"/>
                <w:sz w:val="15"/>
              </w:rPr>
              <w:t>Every user and service has a unique, attributable identity; shared accounts require exceptional approval and enhanced logging.</w:t>
            </w:r>
          </w:p>
        </w:tc>
        <w:tc>
          <w:tcPr>
            <w:tcW w:type="dxa" w:w="2822"/>
            <w:tcMar>
              <w:top w:w="80" w:type="dxa"/>
              <w:start w:w="110" w:type="dxa"/>
              <w:bottom w:w="80" w:type="dxa"/>
              <w:end w:w="110" w:type="dxa"/>
            </w:tcMar>
            <w:vAlign w:val="center"/>
          </w:tcPr>
          <w:p>
            <w:pPr>
              <w:widowControl/>
              <w:spacing w:after="0"/>
            </w:pPr>
            <w:r>
              <w:rPr>
                <w:rFonts w:ascii="Calibri" w:hAnsi="Calibri"/>
                <w:b w:val="0"/>
                <w:color w:val="1F2937"/>
                <w:sz w:val="15"/>
              </w:rPr>
              <w:t>Identity inventory and exception record</w:t>
            </w:r>
          </w:p>
        </w:tc>
      </w:tr>
      <w:tr>
        <w:trPr>
          <w:cantSplit/>
        </w:trPr>
        <w:tc>
          <w:tcPr>
            <w:tcW w:type="dxa" w:w="1655"/>
            <w:tcMar>
              <w:top w:w="80" w:type="dxa"/>
              <w:start w:w="110" w:type="dxa"/>
              <w:bottom w:w="80" w:type="dxa"/>
              <w:end w:w="110" w:type="dxa"/>
            </w:tcMar>
            <w:vAlign w:val="center"/>
            <w:shd w:fill="F8FAFC"/>
          </w:tcPr>
          <w:p>
            <w:pPr>
              <w:widowControl/>
              <w:spacing w:after="0"/>
            </w:pPr>
            <w:r>
              <w:rPr>
                <w:rFonts w:ascii="Calibri" w:hAnsi="Calibri"/>
                <w:b/>
                <w:color w:val="1F4D78"/>
                <w:sz w:val="15"/>
              </w:rPr>
              <w:t>Least privilege</w:t>
            </w:r>
          </w:p>
        </w:tc>
        <w:tc>
          <w:tcPr>
            <w:tcW w:type="dxa" w:w="5400"/>
            <w:tcMar>
              <w:top w:w="80" w:type="dxa"/>
              <w:start w:w="110" w:type="dxa"/>
              <w:bottom w:w="80" w:type="dxa"/>
              <w:end w:w="110" w:type="dxa"/>
            </w:tcMar>
            <w:vAlign w:val="center"/>
            <w:shd w:fill="F8FAFC"/>
          </w:tcPr>
          <w:p>
            <w:pPr>
              <w:widowControl/>
              <w:spacing w:after="0"/>
            </w:pPr>
            <w:r>
              <w:rPr>
                <w:rFonts w:ascii="Calibri" w:hAnsi="Calibri"/>
                <w:b w:val="0"/>
                <w:color w:val="1F2937"/>
                <w:sz w:val="15"/>
              </w:rPr>
              <w:t>Access is limited to business need, classification and segregation-of-duties constraints.</w:t>
            </w:r>
          </w:p>
        </w:tc>
        <w:tc>
          <w:tcPr>
            <w:tcW w:type="dxa" w:w="2822"/>
            <w:tcMar>
              <w:top w:w="80" w:type="dxa"/>
              <w:start w:w="110" w:type="dxa"/>
              <w:bottom w:w="80" w:type="dxa"/>
              <w:end w:w="110" w:type="dxa"/>
            </w:tcMar>
            <w:vAlign w:val="center"/>
            <w:shd w:fill="F8FAFC"/>
          </w:tcPr>
          <w:p>
            <w:pPr>
              <w:widowControl/>
              <w:spacing w:after="0"/>
            </w:pPr>
            <w:r>
              <w:rPr>
                <w:rFonts w:ascii="Calibri" w:hAnsi="Calibri"/>
                <w:b w:val="0"/>
                <w:color w:val="1F2937"/>
                <w:sz w:val="15"/>
              </w:rPr>
              <w:t>Approved access request</w:t>
            </w:r>
          </w:p>
        </w:tc>
      </w:tr>
      <w:tr>
        <w:trPr>
          <w:cantSplit/>
        </w:trPr>
        <w:tc>
          <w:tcPr>
            <w:tcW w:type="dxa" w:w="1655"/>
            <w:tcMar>
              <w:top w:w="80" w:type="dxa"/>
              <w:start w:w="110" w:type="dxa"/>
              <w:bottom w:w="80" w:type="dxa"/>
              <w:end w:w="110" w:type="dxa"/>
            </w:tcMar>
            <w:vAlign w:val="center"/>
          </w:tcPr>
          <w:p>
            <w:pPr>
              <w:widowControl/>
              <w:spacing w:after="0"/>
            </w:pPr>
            <w:r>
              <w:rPr>
                <w:rFonts w:ascii="Calibri" w:hAnsi="Calibri"/>
                <w:b/>
                <w:color w:val="1F4D78"/>
                <w:sz w:val="15"/>
              </w:rPr>
              <w:t>Authentication</w:t>
            </w:r>
          </w:p>
        </w:tc>
        <w:tc>
          <w:tcPr>
            <w:tcW w:type="dxa" w:w="5400"/>
            <w:tcMar>
              <w:top w:w="80" w:type="dxa"/>
              <w:start w:w="110" w:type="dxa"/>
              <w:bottom w:w="80" w:type="dxa"/>
              <w:end w:w="110" w:type="dxa"/>
            </w:tcMar>
            <w:vAlign w:val="center"/>
          </w:tcPr>
          <w:p>
            <w:pPr>
              <w:widowControl/>
              <w:spacing w:after="0"/>
            </w:pPr>
            <w:r>
              <w:rPr>
                <w:rFonts w:ascii="Calibri" w:hAnsi="Calibri"/>
                <w:b w:val="0"/>
                <w:color w:val="1F2937"/>
                <w:sz w:val="15"/>
              </w:rPr>
              <w:t>Multi-factor authentication is required for remote, cloud, administrative and other high-risk access unless a documented compensating control is approved.</w:t>
            </w:r>
          </w:p>
        </w:tc>
        <w:tc>
          <w:tcPr>
            <w:tcW w:type="dxa" w:w="2822"/>
            <w:tcMar>
              <w:top w:w="80" w:type="dxa"/>
              <w:start w:w="110" w:type="dxa"/>
              <w:bottom w:w="80" w:type="dxa"/>
              <w:end w:w="110" w:type="dxa"/>
            </w:tcMar>
            <w:vAlign w:val="center"/>
          </w:tcPr>
          <w:p>
            <w:pPr>
              <w:widowControl/>
              <w:spacing w:after="0"/>
            </w:pPr>
            <w:r>
              <w:rPr>
                <w:rFonts w:ascii="Calibri" w:hAnsi="Calibri"/>
                <w:b w:val="0"/>
                <w:color w:val="1F2937"/>
                <w:sz w:val="15"/>
              </w:rPr>
              <w:t>Configuration or provider evidence</w:t>
            </w:r>
          </w:p>
        </w:tc>
      </w:tr>
      <w:tr>
        <w:trPr>
          <w:cantSplit/>
        </w:trPr>
        <w:tc>
          <w:tcPr>
            <w:tcW w:type="dxa" w:w="1655"/>
            <w:tcMar>
              <w:top w:w="80" w:type="dxa"/>
              <w:start w:w="110" w:type="dxa"/>
              <w:bottom w:w="80" w:type="dxa"/>
              <w:end w:w="110" w:type="dxa"/>
            </w:tcMar>
            <w:vAlign w:val="center"/>
            <w:shd w:fill="F8FAFC"/>
          </w:tcPr>
          <w:p>
            <w:pPr>
              <w:widowControl/>
              <w:spacing w:after="0"/>
            </w:pPr>
            <w:r>
              <w:rPr>
                <w:rFonts w:ascii="Calibri" w:hAnsi="Calibri"/>
                <w:b/>
                <w:color w:val="1F4D78"/>
                <w:sz w:val="15"/>
              </w:rPr>
              <w:t>Review</w:t>
            </w:r>
          </w:p>
        </w:tc>
        <w:tc>
          <w:tcPr>
            <w:tcW w:type="dxa" w:w="5400"/>
            <w:tcMar>
              <w:top w:w="80" w:type="dxa"/>
              <w:start w:w="110" w:type="dxa"/>
              <w:bottom w:w="80" w:type="dxa"/>
              <w:end w:w="110" w:type="dxa"/>
            </w:tcMar>
            <w:vAlign w:val="center"/>
            <w:shd w:fill="F8FAFC"/>
          </w:tcPr>
          <w:p>
            <w:pPr>
              <w:widowControl/>
              <w:spacing w:after="0"/>
            </w:pPr>
            <w:r>
              <w:rPr>
                <w:rFonts w:ascii="Calibri" w:hAnsi="Calibri"/>
                <w:b w:val="0"/>
                <w:color w:val="1F2937"/>
                <w:sz w:val="15"/>
              </w:rPr>
              <w:t>Business/system owners review access at least [QUARTERLY / SEMI-ANNUALLY], and privileged access at least [QUARTERLY].</w:t>
            </w:r>
          </w:p>
        </w:tc>
        <w:tc>
          <w:tcPr>
            <w:tcW w:type="dxa" w:w="2822"/>
            <w:tcMar>
              <w:top w:w="80" w:type="dxa"/>
              <w:start w:w="110" w:type="dxa"/>
              <w:bottom w:w="80" w:type="dxa"/>
              <w:end w:w="110" w:type="dxa"/>
            </w:tcMar>
            <w:vAlign w:val="center"/>
            <w:shd w:fill="F8FAFC"/>
          </w:tcPr>
          <w:p>
            <w:pPr>
              <w:widowControl/>
              <w:spacing w:after="0"/>
            </w:pPr>
            <w:r>
              <w:rPr>
                <w:rFonts w:ascii="Calibri" w:hAnsi="Calibri"/>
                <w:b w:val="0"/>
                <w:color w:val="1F2937"/>
                <w:sz w:val="15"/>
              </w:rPr>
              <w:t>Signed access review</w:t>
            </w:r>
          </w:p>
        </w:tc>
      </w:tr>
      <w:tr>
        <w:trPr>
          <w:cantSplit/>
        </w:trPr>
        <w:tc>
          <w:tcPr>
            <w:tcW w:type="dxa" w:w="1655"/>
            <w:tcMar>
              <w:top w:w="80" w:type="dxa"/>
              <w:start w:w="110" w:type="dxa"/>
              <w:bottom w:w="80" w:type="dxa"/>
              <w:end w:w="110" w:type="dxa"/>
            </w:tcMar>
            <w:vAlign w:val="center"/>
          </w:tcPr>
          <w:p>
            <w:pPr>
              <w:widowControl/>
              <w:spacing w:after="0"/>
            </w:pPr>
            <w:r>
              <w:rPr>
                <w:rFonts w:ascii="Calibri" w:hAnsi="Calibri"/>
                <w:b/>
                <w:color w:val="1F4D78"/>
                <w:sz w:val="15"/>
              </w:rPr>
              <w:t>Revocation</w:t>
            </w:r>
          </w:p>
        </w:tc>
        <w:tc>
          <w:tcPr>
            <w:tcW w:type="dxa" w:w="5400"/>
            <w:tcMar>
              <w:top w:w="80" w:type="dxa"/>
              <w:start w:w="110" w:type="dxa"/>
              <w:bottom w:w="80" w:type="dxa"/>
              <w:end w:w="110" w:type="dxa"/>
            </w:tcMar>
            <w:vAlign w:val="center"/>
          </w:tcPr>
          <w:p>
            <w:pPr>
              <w:widowControl/>
              <w:spacing w:after="0"/>
            </w:pPr>
            <w:r>
              <w:rPr>
                <w:rFonts w:ascii="Calibri" w:hAnsi="Calibri"/>
                <w:b w:val="0"/>
                <w:color w:val="1F2937"/>
                <w:sz w:val="15"/>
              </w:rPr>
              <w:t>Access is revoked promptly on termination, role change, compromise or expiry.</w:t>
            </w:r>
          </w:p>
        </w:tc>
        <w:tc>
          <w:tcPr>
            <w:tcW w:type="dxa" w:w="2822"/>
            <w:tcMar>
              <w:top w:w="80" w:type="dxa"/>
              <w:start w:w="110" w:type="dxa"/>
              <w:bottom w:w="80" w:type="dxa"/>
              <w:end w:w="110" w:type="dxa"/>
            </w:tcMar>
            <w:vAlign w:val="center"/>
          </w:tcPr>
          <w:p>
            <w:pPr>
              <w:widowControl/>
              <w:spacing w:after="0"/>
            </w:pPr>
            <w:r>
              <w:rPr>
                <w:rFonts w:ascii="Calibri" w:hAnsi="Calibri"/>
                <w:b w:val="0"/>
                <w:color w:val="1F2937"/>
                <w:sz w:val="15"/>
              </w:rPr>
              <w:t>JML ticket / audit log</w:t>
            </w:r>
          </w:p>
        </w:tc>
      </w:tr>
      <w:tr>
        <w:trPr>
          <w:cantSplit/>
        </w:trPr>
        <w:tc>
          <w:tcPr>
            <w:tcW w:type="dxa" w:w="1655"/>
            <w:tcMar>
              <w:top w:w="80" w:type="dxa"/>
              <w:start w:w="110" w:type="dxa"/>
              <w:bottom w:w="80" w:type="dxa"/>
              <w:end w:w="110" w:type="dxa"/>
            </w:tcMar>
            <w:vAlign w:val="center"/>
            <w:shd w:fill="F8FAFC"/>
          </w:tcPr>
          <w:p>
            <w:pPr>
              <w:widowControl/>
              <w:spacing w:after="0"/>
            </w:pPr>
            <w:r>
              <w:rPr>
                <w:rFonts w:ascii="Calibri" w:hAnsi="Calibri"/>
                <w:b/>
                <w:color w:val="1F4D78"/>
                <w:sz w:val="15"/>
              </w:rPr>
              <w:t>Service accounts</w:t>
            </w:r>
          </w:p>
        </w:tc>
        <w:tc>
          <w:tcPr>
            <w:tcW w:type="dxa" w:w="5400"/>
            <w:tcMar>
              <w:top w:w="80" w:type="dxa"/>
              <w:start w:w="110" w:type="dxa"/>
              <w:bottom w:w="80" w:type="dxa"/>
              <w:end w:w="110" w:type="dxa"/>
            </w:tcMar>
            <w:vAlign w:val="center"/>
            <w:shd w:fill="F8FAFC"/>
          </w:tcPr>
          <w:p>
            <w:pPr>
              <w:widowControl/>
              <w:spacing w:after="0"/>
            </w:pPr>
            <w:r>
              <w:rPr>
                <w:rFonts w:ascii="Calibri" w:hAnsi="Calibri"/>
                <w:b w:val="0"/>
                <w:color w:val="1F2937"/>
                <w:sz w:val="15"/>
              </w:rPr>
              <w:t>Owner, purpose, credential protection, rotation and monitoring are recorded.</w:t>
            </w:r>
          </w:p>
        </w:tc>
        <w:tc>
          <w:tcPr>
            <w:tcW w:type="dxa" w:w="2822"/>
            <w:tcMar>
              <w:top w:w="80" w:type="dxa"/>
              <w:start w:w="110" w:type="dxa"/>
              <w:bottom w:w="80" w:type="dxa"/>
              <w:end w:w="110" w:type="dxa"/>
            </w:tcMar>
            <w:vAlign w:val="center"/>
            <w:shd w:fill="F8FAFC"/>
          </w:tcPr>
          <w:p>
            <w:pPr>
              <w:widowControl/>
              <w:spacing w:after="0"/>
            </w:pPr>
            <w:r>
              <w:rPr>
                <w:rFonts w:ascii="Calibri" w:hAnsi="Calibri"/>
                <w:b w:val="0"/>
                <w:color w:val="1F2937"/>
                <w:sz w:val="15"/>
              </w:rPr>
              <w:t>Service-account register</w:t>
            </w:r>
          </w:p>
        </w:tc>
      </w:tr>
    </w:tbl>
    <w:p>
      <w:pPr>
        <w:widowControl/>
        <w:spacing w:after="0"/>
      </w:pPr>
    </w:p>
    <w:p>
      <w:pPr>
        <w:pStyle w:val="Heading1"/>
        <w:widowControl/>
      </w:pPr>
      <w:r>
        <w:t>6. Privileged access</w:t>
      </w:r>
    </w:p>
    <w:p>
      <w:pPr>
        <w:widowControl/>
      </w:pPr>
      <w:r>
        <w:t>Administrative access shall be separately assigned, time-limited where feasible, MFA-protected and used only for administrative activity.</w:t>
      </w:r>
    </w:p>
    <w:p>
      <w:pPr>
        <w:widowControl/>
      </w:pPr>
      <w:r>
        <w:t>Privileged accounts shall not be used for ordinary email or web activity.</w:t>
      </w:r>
    </w:p>
    <w:p>
      <w:pPr>
        <w:widowControl/>
      </w:pPr>
      <w:r>
        <w:t>Critical administrative actions shall be logged and reviewed by a person independent of the action where proportionate.</w:t>
      </w:r>
    </w:p>
    <w:p>
      <w:pPr>
        <w:widowControl/>
      </w:pPr>
      <w:r>
        <w:t>Emergency access shall be controlled, logged, retrospectively reviewed and revoked after use.</w:t>
      </w:r>
    </w:p>
    <w:p>
      <w:pPr>
        <w:widowControl/>
      </w:pPr>
      <w:r>
        <w:t>Provider privileged access shall be approved, monitored and contractually controlled through D09–D11.</w:t>
      </w:r>
    </w:p>
    <w:p>
      <w:pPr>
        <w:pStyle w:val="Heading1"/>
        <w:widowControl/>
      </w:pPr>
      <w:r>
        <w:t>7. Physical and environmental security</w:t>
      </w:r>
    </w:p>
    <w:p>
      <w:pPr>
        <w:widowControl/>
      </w:pPr>
      <w:r>
        <w:t>Sensitive locations, equipment and media shall be protected against unauthorised access, damage, theft and environmental threats.</w:t>
      </w:r>
    </w:p>
    <w:p>
      <w:pPr>
        <w:widowControl/>
      </w:pPr>
      <w:r>
        <w:t>Physical access shall be authorised, recorded and periodically reviewed; visitors shall be controlled.</w:t>
      </w:r>
    </w:p>
    <w:p>
      <w:pPr>
        <w:widowControl/>
      </w:pPr>
      <w:r>
        <w:t>Portable devices and media shall use encryption and secure storage appropriate to risk.</w:t>
      </w:r>
    </w:p>
    <w:p>
      <w:pPr>
        <w:widowControl/>
      </w:pPr>
      <w:r>
        <w:t>Critical utilities and environmental controls shall be monitored where relevant to continuity.</w:t>
      </w:r>
    </w:p>
    <w:p>
      <w:pPr>
        <w:widowControl/>
      </w:pPr>
      <w:r>
        <w:t>Equipment and media shall be securely erased or destroyed before disposal or reuse, with evidence retained.</w:t>
      </w:r>
    </w:p>
    <w:p>
      <w:pPr>
        <w:pStyle w:val="Heading1"/>
        <w:widowControl/>
      </w:pPr>
      <w:r>
        <w:t>8. ICT operations and secure configuration</w:t>
      </w:r>
    </w:p>
    <w:p>
      <w:pPr>
        <w:widowControl/>
      </w:pPr>
      <w:r>
        <w:t>Documented operating procedures shall cover startup/shutdown, capacity, backups, batch jobs, monitoring, support, escalation and recovery for material systems.</w:t>
      </w:r>
    </w:p>
    <w:p>
      <w:pPr>
        <w:widowControl/>
      </w:pPr>
      <w:r>
        <w:t>Secure baseline configurations shall be approved, applied and reviewed; unnecessary services, default credentials and insecure protocols shall be disabled.</w:t>
      </w:r>
    </w:p>
    <w:p>
      <w:pPr>
        <w:widowControl/>
      </w:pPr>
      <w:r>
        <w:t>Development, test and production environments shall be segregated where relevant.</w:t>
      </w:r>
    </w:p>
    <w:p>
      <w:pPr>
        <w:widowControl/>
      </w:pPr>
      <w:r>
        <w:t>Capacity and availability shall be monitored against thresholds aligned to D05 recovery objectives.</w:t>
      </w:r>
    </w:p>
    <w:p>
      <w:pPr>
        <w:widowControl/>
      </w:pPr>
      <w:r>
        <w:t>Changes, operational errors and provider events shall be recorded and linked to incidents or risks where appropriate.</w:t>
      </w:r>
    </w:p>
    <w:p>
      <w:pPr>
        <w:pStyle w:val="Heading1"/>
        <w:widowControl/>
      </w:pPr>
      <w:r>
        <w:t>9. Vulnerability, patch and endpoint management</w:t>
      </w:r>
    </w:p>
    <w:tbl>
      <w:tblPr>
        <w:tblStyle w:val="TableGrid"/>
        <w:tblW w:type="auto" w:w="0"/>
        <w:jc w:val="center"/>
        <w:tblLayout w:type="fixed"/>
        <w:tblLook w:firstColumn="1" w:firstRow="1" w:lastColumn="0" w:lastRow="0" w:noHBand="0" w:noVBand="1" w:val="04A0"/>
      </w:tblPr>
      <w:tblGrid>
        <w:gridCol w:w="2015"/>
        <w:gridCol w:w="7862"/>
      </w:tblGrid>
      <w:tr>
        <w:trPr>
          <w:tblHeader w:val="true"/>
        </w:trPr>
        <w:tc>
          <w:tcPr>
            <w:tcW w:type="dxa" w:w="2015"/>
            <w:shd w:fill="17365D"/>
            <w:tcMar>
              <w:top w:w="80" w:type="dxa"/>
              <w:start w:w="110" w:type="dxa"/>
              <w:bottom w:w="80" w:type="dxa"/>
              <w:end w:w="110" w:type="dxa"/>
            </w:tcMar>
            <w:vAlign w:val="center"/>
          </w:tcPr>
          <w:p>
            <w:pPr>
              <w:widowControl/>
            </w:pPr>
            <w:r>
              <w:rPr>
                <w:rFonts w:ascii="Calibri" w:hAnsi="Calibri"/>
                <w:b/>
                <w:color w:val="FFFFFF"/>
                <w:sz w:val="16"/>
              </w:rPr>
              <w:t>Activity</w:t>
            </w:r>
          </w:p>
        </w:tc>
        <w:tc>
          <w:tcPr>
            <w:tcW w:type="dxa" w:w="7862"/>
            <w:shd w:fill="17365D"/>
            <w:tcMar>
              <w:top w:w="80" w:type="dxa"/>
              <w:start w:w="110" w:type="dxa"/>
              <w:bottom w:w="80" w:type="dxa"/>
              <w:end w:w="110" w:type="dxa"/>
            </w:tcMar>
            <w:vAlign w:val="center"/>
          </w:tcPr>
          <w:p>
            <w:pPr>
              <w:widowControl/>
            </w:pPr>
            <w:r>
              <w:rPr>
                <w:rFonts w:ascii="Calibri" w:hAnsi="Calibri"/>
                <w:b/>
                <w:color w:val="FFFFFF"/>
                <w:sz w:val="16"/>
              </w:rPr>
              <w:t>Rule</w:t>
            </w:r>
          </w:p>
        </w:tc>
      </w:tr>
      <w:tr>
        <w:trPr>
          <w:cantSplit/>
        </w:trPr>
        <w:tc>
          <w:tcPr>
            <w:tcW w:type="dxa" w:w="2015"/>
            <w:tcMar>
              <w:top w:w="80" w:type="dxa"/>
              <w:start w:w="110" w:type="dxa"/>
              <w:bottom w:w="80" w:type="dxa"/>
              <w:end w:w="110" w:type="dxa"/>
            </w:tcMar>
            <w:vAlign w:val="center"/>
          </w:tcPr>
          <w:p>
            <w:pPr>
              <w:widowControl/>
              <w:spacing w:after="0"/>
            </w:pPr>
            <w:r>
              <w:rPr>
                <w:rFonts w:ascii="Calibri" w:hAnsi="Calibri"/>
                <w:b/>
                <w:color w:val="1F4D78"/>
                <w:sz w:val="16"/>
              </w:rPr>
              <w:t>Discovery</w:t>
            </w:r>
          </w:p>
        </w:tc>
        <w:tc>
          <w:tcPr>
            <w:tcW w:type="dxa" w:w="7862"/>
            <w:tcMar>
              <w:top w:w="80" w:type="dxa"/>
              <w:start w:w="110" w:type="dxa"/>
              <w:bottom w:w="80" w:type="dxa"/>
              <w:end w:w="110" w:type="dxa"/>
            </w:tcMar>
            <w:vAlign w:val="center"/>
          </w:tcPr>
          <w:p>
            <w:pPr>
              <w:widowControl/>
              <w:spacing w:after="0"/>
            </w:pPr>
            <w:r>
              <w:rPr>
                <w:rFonts w:ascii="Calibri" w:hAnsi="Calibri"/>
                <w:b w:val="0"/>
                <w:color w:val="1F2937"/>
                <w:sz w:val="16"/>
              </w:rPr>
              <w:t>Identify vulnerabilities through advisories, scans, provider reports, testing and threat intelligence.</w:t>
            </w:r>
          </w:p>
        </w:tc>
      </w:tr>
      <w:tr>
        <w:trPr>
          <w:cantSplit/>
        </w:trPr>
        <w:tc>
          <w:tcPr>
            <w:tcW w:type="dxa" w:w="2015"/>
            <w:tcMar>
              <w:top w:w="80" w:type="dxa"/>
              <w:start w:w="110" w:type="dxa"/>
              <w:bottom w:w="80" w:type="dxa"/>
              <w:end w:w="110" w:type="dxa"/>
            </w:tcMar>
            <w:vAlign w:val="center"/>
            <w:shd w:fill="F8FAFC"/>
          </w:tcPr>
          <w:p>
            <w:pPr>
              <w:widowControl/>
              <w:spacing w:after="0"/>
            </w:pPr>
            <w:r>
              <w:rPr>
                <w:rFonts w:ascii="Calibri" w:hAnsi="Calibri"/>
                <w:b/>
                <w:color w:val="1F4D78"/>
                <w:sz w:val="16"/>
              </w:rPr>
              <w:t>Assessment</w:t>
            </w:r>
          </w:p>
        </w:tc>
        <w:tc>
          <w:tcPr>
            <w:tcW w:type="dxa" w:w="7862"/>
            <w:tcMar>
              <w:top w:w="80" w:type="dxa"/>
              <w:start w:w="110" w:type="dxa"/>
              <w:bottom w:w="80" w:type="dxa"/>
              <w:end w:w="110" w:type="dxa"/>
            </w:tcMar>
            <w:vAlign w:val="center"/>
            <w:shd w:fill="F8FAFC"/>
          </w:tcPr>
          <w:p>
            <w:pPr>
              <w:widowControl/>
              <w:spacing w:after="0"/>
            </w:pPr>
            <w:r>
              <w:rPr>
                <w:rFonts w:ascii="Calibri" w:hAnsi="Calibri"/>
                <w:b w:val="0"/>
                <w:color w:val="1F2937"/>
                <w:sz w:val="16"/>
              </w:rPr>
              <w:t>Assess exploitability, affected assets, criticality, exposure, available mitigations and business impact.</w:t>
            </w:r>
          </w:p>
        </w:tc>
      </w:tr>
      <w:tr>
        <w:trPr>
          <w:cantSplit/>
        </w:trPr>
        <w:tc>
          <w:tcPr>
            <w:tcW w:type="dxa" w:w="2015"/>
            <w:tcMar>
              <w:top w:w="80" w:type="dxa"/>
              <w:start w:w="110" w:type="dxa"/>
              <w:bottom w:w="80" w:type="dxa"/>
              <w:end w:w="110" w:type="dxa"/>
            </w:tcMar>
            <w:vAlign w:val="center"/>
          </w:tcPr>
          <w:p>
            <w:pPr>
              <w:widowControl/>
              <w:spacing w:after="0"/>
            </w:pPr>
            <w:r>
              <w:rPr>
                <w:rFonts w:ascii="Calibri" w:hAnsi="Calibri"/>
                <w:b/>
                <w:color w:val="1F4D78"/>
                <w:sz w:val="16"/>
              </w:rPr>
              <w:t>Treatment</w:t>
            </w:r>
          </w:p>
        </w:tc>
        <w:tc>
          <w:tcPr>
            <w:tcW w:type="dxa" w:w="7862"/>
            <w:tcMar>
              <w:top w:w="80" w:type="dxa"/>
              <w:start w:w="110" w:type="dxa"/>
              <w:bottom w:w="80" w:type="dxa"/>
              <w:end w:w="110" w:type="dxa"/>
            </w:tcMar>
            <w:vAlign w:val="center"/>
          </w:tcPr>
          <w:p>
            <w:pPr>
              <w:widowControl/>
              <w:spacing w:after="0"/>
            </w:pPr>
            <w:r>
              <w:rPr>
                <w:rFonts w:ascii="Calibri" w:hAnsi="Calibri"/>
                <w:b w:val="0"/>
                <w:color w:val="1F2937"/>
                <w:sz w:val="16"/>
              </w:rPr>
              <w:t>Apply risk-based deadlines: Critical [X days]; High [X days]; Medium [X days]; Low [X days]. Emergency remediation may use the change process’s emergency path.</w:t>
            </w:r>
          </w:p>
        </w:tc>
      </w:tr>
      <w:tr>
        <w:trPr>
          <w:cantSplit/>
        </w:trPr>
        <w:tc>
          <w:tcPr>
            <w:tcW w:type="dxa" w:w="2015"/>
            <w:tcMar>
              <w:top w:w="80" w:type="dxa"/>
              <w:start w:w="110" w:type="dxa"/>
              <w:bottom w:w="80" w:type="dxa"/>
              <w:end w:w="110" w:type="dxa"/>
            </w:tcMar>
            <w:vAlign w:val="center"/>
            <w:shd w:fill="F8FAFC"/>
          </w:tcPr>
          <w:p>
            <w:pPr>
              <w:widowControl/>
              <w:spacing w:after="0"/>
            </w:pPr>
            <w:r>
              <w:rPr>
                <w:rFonts w:ascii="Calibri" w:hAnsi="Calibri"/>
                <w:b/>
                <w:color w:val="1F4D78"/>
                <w:sz w:val="16"/>
              </w:rPr>
              <w:t>Exception</w:t>
            </w:r>
          </w:p>
        </w:tc>
        <w:tc>
          <w:tcPr>
            <w:tcW w:type="dxa" w:w="7862"/>
            <w:tcMar>
              <w:top w:w="80" w:type="dxa"/>
              <w:start w:w="110" w:type="dxa"/>
              <w:bottom w:w="80" w:type="dxa"/>
              <w:end w:w="110" w:type="dxa"/>
            </w:tcMar>
            <w:vAlign w:val="center"/>
            <w:shd w:fill="F8FAFC"/>
          </w:tcPr>
          <w:p>
            <w:pPr>
              <w:widowControl/>
              <w:spacing w:after="0"/>
            </w:pPr>
            <w:r>
              <w:rPr>
                <w:rFonts w:ascii="Calibri" w:hAnsi="Calibri"/>
                <w:b w:val="0"/>
                <w:color w:val="1F2937"/>
                <w:sz w:val="16"/>
              </w:rPr>
              <w:t>Unpatched exposure requires a time-limited risk acceptance, compensating controls and monitoring.</w:t>
            </w:r>
          </w:p>
        </w:tc>
      </w:tr>
      <w:tr>
        <w:trPr>
          <w:cantSplit/>
        </w:trPr>
        <w:tc>
          <w:tcPr>
            <w:tcW w:type="dxa" w:w="2015"/>
            <w:tcMar>
              <w:top w:w="80" w:type="dxa"/>
              <w:start w:w="110" w:type="dxa"/>
              <w:bottom w:w="80" w:type="dxa"/>
              <w:end w:w="110" w:type="dxa"/>
            </w:tcMar>
            <w:vAlign w:val="center"/>
          </w:tcPr>
          <w:p>
            <w:pPr>
              <w:widowControl/>
              <w:spacing w:after="0"/>
            </w:pPr>
            <w:r>
              <w:rPr>
                <w:rFonts w:ascii="Calibri" w:hAnsi="Calibri"/>
                <w:b/>
                <w:color w:val="1F4D78"/>
                <w:sz w:val="16"/>
              </w:rPr>
              <w:t>Endpoint</w:t>
            </w:r>
          </w:p>
        </w:tc>
        <w:tc>
          <w:tcPr>
            <w:tcW w:type="dxa" w:w="7862"/>
            <w:tcMar>
              <w:top w:w="80" w:type="dxa"/>
              <w:start w:w="110" w:type="dxa"/>
              <w:bottom w:w="80" w:type="dxa"/>
              <w:end w:w="110" w:type="dxa"/>
            </w:tcMar>
            <w:vAlign w:val="center"/>
          </w:tcPr>
          <w:p>
            <w:pPr>
              <w:widowControl/>
              <w:spacing w:after="0"/>
            </w:pPr>
            <w:r>
              <w:rPr>
                <w:rFonts w:ascii="Calibri" w:hAnsi="Calibri"/>
                <w:b w:val="0"/>
                <w:color w:val="1F2937"/>
                <w:sz w:val="16"/>
              </w:rPr>
              <w:t>Approved endpoint protection, encryption, screen lock, device management and update controls shall be enabled.</w:t>
            </w:r>
          </w:p>
        </w:tc>
      </w:tr>
      <w:tr>
        <w:trPr>
          <w:cantSplit/>
        </w:trPr>
        <w:tc>
          <w:tcPr>
            <w:tcW w:type="dxa" w:w="2015"/>
            <w:tcMar>
              <w:top w:w="80" w:type="dxa"/>
              <w:start w:w="110" w:type="dxa"/>
              <w:bottom w:w="80" w:type="dxa"/>
              <w:end w:w="110" w:type="dxa"/>
            </w:tcMar>
            <w:vAlign w:val="center"/>
            <w:shd w:fill="F8FAFC"/>
          </w:tcPr>
          <w:p>
            <w:pPr>
              <w:widowControl/>
              <w:spacing w:after="0"/>
            </w:pPr>
            <w:r>
              <w:rPr>
                <w:rFonts w:ascii="Calibri" w:hAnsi="Calibri"/>
                <w:b/>
                <w:color w:val="1F4D78"/>
                <w:sz w:val="16"/>
              </w:rPr>
              <w:t>Verification</w:t>
            </w:r>
          </w:p>
        </w:tc>
        <w:tc>
          <w:tcPr>
            <w:tcW w:type="dxa" w:w="7862"/>
            <w:tcMar>
              <w:top w:w="80" w:type="dxa"/>
              <w:start w:w="110" w:type="dxa"/>
              <w:bottom w:w="80" w:type="dxa"/>
              <w:end w:w="110" w:type="dxa"/>
            </w:tcMar>
            <w:vAlign w:val="center"/>
            <w:shd w:fill="F8FAFC"/>
          </w:tcPr>
          <w:p>
            <w:pPr>
              <w:widowControl/>
              <w:spacing w:after="0"/>
            </w:pPr>
            <w:r>
              <w:rPr>
                <w:rFonts w:ascii="Calibri" w:hAnsi="Calibri"/>
                <w:b w:val="0"/>
                <w:color w:val="1F2937"/>
                <w:sz w:val="16"/>
              </w:rPr>
              <w:t>Confirm remediation through rescanning, configuration evidence or vendor confirmation; record in D14.</w:t>
            </w:r>
          </w:p>
        </w:tc>
      </w:tr>
    </w:tbl>
    <w:p>
      <w:pPr>
        <w:widowControl/>
        <w:spacing w:after="0"/>
      </w:pPr>
    </w:p>
    <w:p>
      <w:pPr>
        <w:pStyle w:val="Heading1"/>
        <w:widowControl/>
      </w:pPr>
      <w:r>
        <w:t>10. Logging, monitoring and anomaly detection</w:t>
      </w:r>
    </w:p>
    <w:p>
      <w:pPr>
        <w:widowControl/>
      </w:pPr>
      <w:r>
        <w:t>The firm shall determine risk-based log sources, events, retention, protection, review frequency and escalation thresholds. At minimum, material systems should capture authentication, privileged activity, access changes, security alerts, configuration changes, data-export events and material service failures where available.</w:t>
      </w:r>
    </w:p>
    <w:p>
      <w:pPr>
        <w:pStyle w:val="ListBullet"/>
        <w:widowControl/>
        <w:ind w:left="461"/>
      </w:pPr>
      <w:r>
        <w:t>Clocks shall be synchronised to an approved source.</w:t>
      </w:r>
    </w:p>
    <w:p>
      <w:pPr>
        <w:pStyle w:val="ListBullet"/>
        <w:widowControl/>
        <w:ind w:left="461"/>
      </w:pPr>
      <w:r>
        <w:t>Logs shall be protected from unauthorised access, alteration and deletion.</w:t>
      </w:r>
    </w:p>
    <w:p>
      <w:pPr>
        <w:pStyle w:val="ListBullet"/>
        <w:widowControl/>
        <w:ind w:left="461"/>
      </w:pPr>
      <w:r>
        <w:t>Monitoring alerts shall have defined ownership, severity, response time and escalation into D06.</w:t>
      </w:r>
    </w:p>
    <w:p>
      <w:pPr>
        <w:pStyle w:val="ListBullet"/>
        <w:widowControl/>
        <w:ind w:left="461"/>
      </w:pPr>
      <w:r>
        <w:t>Monitoring coverage gaps caused by provider limitations shall be documented as risk and addressed through contractual, technical or compensating measures.</w:t>
      </w:r>
    </w:p>
    <w:p>
      <w:pPr>
        <w:pStyle w:val="Heading1"/>
        <w:widowControl/>
      </w:pPr>
      <w:r>
        <w:t>11. Data, network and cryptographic security</w:t>
      </w:r>
    </w:p>
    <w:p>
      <w:pPr>
        <w:widowControl/>
      </w:pPr>
      <w:r>
        <w:t>Data shall be protected in transit and at rest using current, risk-appropriate cryptography. Key ownership, generation, storage, access, rotation, backup, revocation and destruction shall be controlled.</w:t>
      </w:r>
    </w:p>
    <w:p>
      <w:pPr>
        <w:widowControl/>
      </w:pPr>
      <w:r>
        <w:t>Network architecture shall restrict unnecessary connectivity, segment material environments where proportionate, protect external interfaces and record approved firewall/security rules.</w:t>
      </w:r>
    </w:p>
    <w:p>
      <w:pPr>
        <w:widowControl/>
      </w:pPr>
      <w:r>
        <w:t>Email and web protections shall address malicious content, spoofing, phishing and data leakage proportionate to risk.</w:t>
      </w:r>
    </w:p>
    <w:p>
      <w:pPr>
        <w:widowControl/>
      </w:pPr>
      <w:r>
        <w:t>Data transfers and exports shall be authorised, logged where feasible and subject to classification and recipient verification.</w:t>
      </w:r>
    </w:p>
    <w:p>
      <w:pPr>
        <w:widowControl/>
      </w:pPr>
      <w:r>
        <w:t>Cryptographic exceptions and obsolete algorithms shall be time-limited, risk-assessed and escalated.</w:t>
      </w:r>
    </w:p>
    <w:p>
      <w:pPr>
        <w:pStyle w:val="Heading1"/>
        <w:widowControl/>
      </w:pPr>
      <w:r>
        <w:t>12. Cloud, SaaS, mobile and remote access</w:t>
      </w:r>
    </w:p>
    <w:p>
      <w:pPr>
        <w:widowControl/>
      </w:pPr>
      <w:r>
        <w:t>Cloud and SaaS services are subject to D09–D11 before use. Configuration ownership, tenancy security, MFA, logging, data location, backup/recovery, administrative access, portability and exit shall be documented. Personal devices are [PROHIBITED / PERMITTED UNDER BYOD STANDARD] for firm data. Remote access shall use approved secure channels and terminate after defined inactivity.</w:t>
      </w:r>
    </w:p>
    <w:p>
      <w:pPr>
        <w:pStyle w:val="Heading1"/>
        <w:widowControl/>
      </w:pPr>
      <w:r>
        <w:t>13. Backup and continuity interface</w:t>
      </w:r>
    </w:p>
    <w:p>
      <w:pPr>
        <w:widowControl/>
      </w:pPr>
      <w:r>
        <w:t>Backup, restoration and recovery requirements are governed by D05. This Policy requires backup data to receive security protection equivalent to source data, be separated appropriately from production, monitored for success, tested through restoration and protected against malicious deletion or alteration. Failures shall be escalated under D06 where material.</w:t>
      </w:r>
    </w:p>
    <w:p>
      <w:pPr>
        <w:pStyle w:val="Heading1"/>
        <w:widowControl/>
      </w:pPr>
      <w:r>
        <w:t>14. ICT acquisition, development and maintenance</w:t>
      </w:r>
    </w:p>
    <w:p>
      <w:pPr>
        <w:widowControl/>
      </w:pPr>
      <w:r>
        <w:t>Security, resilience, data, access, logging, continuity, support and exit requirements shall be defined before acquisition or material renewal.</w:t>
      </w:r>
    </w:p>
    <w:p>
      <w:pPr>
        <w:widowControl/>
      </w:pPr>
      <w:r>
        <w:t>Supplier claims and control evidence shall be validated proportionately; critical gaps are recorded in D11.</w:t>
      </w:r>
    </w:p>
    <w:p>
      <w:pPr>
        <w:widowControl/>
      </w:pPr>
      <w:r>
        <w:t>Where software is developed or configured, requirements, secure design, code/configuration review, testing, approvals and separation of duties shall be applied proportionately.</w:t>
      </w:r>
    </w:p>
    <w:p>
      <w:pPr>
        <w:widowControl/>
      </w:pPr>
      <w:r>
        <w:t>Open-source and third-party components shall be inventoried and monitored for vulnerabilities where relevant.</w:t>
      </w:r>
    </w:p>
    <w:p>
      <w:pPr>
        <w:widowControl/>
      </w:pPr>
      <w:r>
        <w:t>Unsupported technology shall not be introduced; end-of-life assets require a time-bound remediation or risk acceptance.</w:t>
      </w:r>
    </w:p>
    <w:p>
      <w:pPr>
        <w:pStyle w:val="Heading1"/>
        <w:widowControl/>
      </w:pPr>
      <w:r>
        <w:t>15. ICT project and change management</w:t>
      </w:r>
    </w:p>
    <w:tbl>
      <w:tblPr>
        <w:tblStyle w:val="TableGrid"/>
        <w:tblW w:type="auto" w:w="0"/>
        <w:jc w:val="center"/>
        <w:tblLayout w:type="fixed"/>
        <w:tblLook w:firstColumn="1" w:firstRow="1" w:lastColumn="0" w:lastRow="0" w:noHBand="0" w:noVBand="1" w:val="04A0"/>
      </w:tblPr>
      <w:tblGrid>
        <w:gridCol w:w="1440"/>
        <w:gridCol w:w="8438"/>
      </w:tblGrid>
      <w:tr>
        <w:trPr>
          <w:tblHeader w:val="true"/>
        </w:trPr>
        <w:tc>
          <w:tcPr>
            <w:tcW w:type="dxa" w:w="1440"/>
            <w:shd w:fill="17365D"/>
            <w:tcMar>
              <w:top w:w="80" w:type="dxa"/>
              <w:start w:w="110" w:type="dxa"/>
              <w:bottom w:w="80" w:type="dxa"/>
              <w:end w:w="110" w:type="dxa"/>
            </w:tcMar>
            <w:vAlign w:val="center"/>
          </w:tcPr>
          <w:p>
            <w:pPr>
              <w:widowControl/>
            </w:pPr>
            <w:r>
              <w:rPr>
                <w:rFonts w:ascii="Calibri" w:hAnsi="Calibri"/>
                <w:b/>
                <w:color w:val="FFFFFF"/>
                <w:sz w:val="16"/>
              </w:rPr>
              <w:t>Stage</w:t>
            </w:r>
          </w:p>
        </w:tc>
        <w:tc>
          <w:tcPr>
            <w:tcW w:type="dxa" w:w="8438"/>
            <w:shd w:fill="17365D"/>
            <w:tcMar>
              <w:top w:w="80" w:type="dxa"/>
              <w:start w:w="110" w:type="dxa"/>
              <w:bottom w:w="80" w:type="dxa"/>
              <w:end w:w="110" w:type="dxa"/>
            </w:tcMar>
            <w:vAlign w:val="center"/>
          </w:tcPr>
          <w:p>
            <w:pPr>
              <w:widowControl/>
            </w:pPr>
            <w:r>
              <w:rPr>
                <w:rFonts w:ascii="Calibri" w:hAnsi="Calibri"/>
                <w:b/>
                <w:color w:val="FFFFFF"/>
                <w:sz w:val="16"/>
              </w:rPr>
              <w:t>Minimum control</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color w:val="1F4D78"/>
                <w:sz w:val="16"/>
              </w:rPr>
              <w:t>Initiate</w:t>
            </w:r>
          </w:p>
        </w:tc>
        <w:tc>
          <w:tcPr>
            <w:tcW w:type="dxa" w:w="8438"/>
            <w:tcMar>
              <w:top w:w="80" w:type="dxa"/>
              <w:start w:w="110" w:type="dxa"/>
              <w:bottom w:w="80" w:type="dxa"/>
              <w:end w:w="110" w:type="dxa"/>
            </w:tcMar>
            <w:vAlign w:val="center"/>
          </w:tcPr>
          <w:p>
            <w:pPr>
              <w:widowControl/>
              <w:spacing w:after="0"/>
            </w:pPr>
            <w:r>
              <w:rPr>
                <w:rFonts w:ascii="Calibri" w:hAnsi="Calibri"/>
                <w:b w:val="0"/>
                <w:color w:val="1F2937"/>
                <w:sz w:val="16"/>
              </w:rPr>
              <w:t>Owner, objective, scope, criticality, dependencies, risks, resources and acceptance criteria.</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color w:val="1F4D78"/>
                <w:sz w:val="16"/>
              </w:rPr>
              <w:t>Assess</w:t>
            </w:r>
          </w:p>
        </w:tc>
        <w:tc>
          <w:tcPr>
            <w:tcW w:type="dxa" w:w="8438"/>
            <w:tcMar>
              <w:top w:w="80" w:type="dxa"/>
              <w:start w:w="110" w:type="dxa"/>
              <w:bottom w:w="80" w:type="dxa"/>
              <w:end w:w="110" w:type="dxa"/>
            </w:tcMar>
            <w:vAlign w:val="center"/>
            <w:shd w:fill="F8FAFC"/>
          </w:tcPr>
          <w:p>
            <w:pPr>
              <w:widowControl/>
              <w:spacing w:after="0"/>
            </w:pPr>
            <w:r>
              <w:rPr>
                <w:rFonts w:ascii="Calibri" w:hAnsi="Calibri"/>
                <w:b w:val="0"/>
                <w:color w:val="1F2937"/>
                <w:sz w:val="16"/>
              </w:rPr>
              <w:t>Security, resilience, privacy, continuity, provider, data and regulatory impact.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color w:val="1F4D78"/>
                <w:sz w:val="16"/>
              </w:rPr>
              <w:t>Approve</w:t>
            </w:r>
          </w:p>
        </w:tc>
        <w:tc>
          <w:tcPr>
            <w:tcW w:type="dxa" w:w="8438"/>
            <w:tcMar>
              <w:top w:w="80" w:type="dxa"/>
              <w:start w:w="110" w:type="dxa"/>
              <w:bottom w:w="80" w:type="dxa"/>
              <w:end w:w="110" w:type="dxa"/>
            </w:tcMar>
            <w:vAlign w:val="center"/>
          </w:tcPr>
          <w:p>
            <w:pPr>
              <w:widowControl/>
              <w:spacing w:after="0"/>
            </w:pPr>
            <w:r>
              <w:rPr>
                <w:rFonts w:ascii="Calibri" w:hAnsi="Calibri"/>
                <w:b w:val="0"/>
                <w:color w:val="1F2937"/>
                <w:sz w:val="16"/>
              </w:rPr>
              <w:t>Authorised decision based on risk and testing; segregation from implementer where proportionate.</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color w:val="1F4D78"/>
                <w:sz w:val="16"/>
              </w:rPr>
              <w:t>Test</w:t>
            </w:r>
          </w:p>
        </w:tc>
        <w:tc>
          <w:tcPr>
            <w:tcW w:type="dxa" w:w="8438"/>
            <w:tcMar>
              <w:top w:w="80" w:type="dxa"/>
              <w:start w:w="110" w:type="dxa"/>
              <w:bottom w:w="80" w:type="dxa"/>
              <w:end w:w="110" w:type="dxa"/>
            </w:tcMar>
            <w:vAlign w:val="center"/>
            <w:shd w:fill="F8FAFC"/>
          </w:tcPr>
          <w:p>
            <w:pPr>
              <w:widowControl/>
              <w:spacing w:after="0"/>
            </w:pPr>
            <w:r>
              <w:rPr>
                <w:rFonts w:ascii="Calibri" w:hAnsi="Calibri"/>
                <w:b w:val="0"/>
                <w:color w:val="1F2937"/>
                <w:sz w:val="16"/>
              </w:rPr>
              <w:t>Functional, security, recovery and rollback testing proportionate to impact.</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color w:val="1F4D78"/>
                <w:sz w:val="16"/>
              </w:rPr>
              <w:t>Implement</w:t>
            </w:r>
          </w:p>
        </w:tc>
        <w:tc>
          <w:tcPr>
            <w:tcW w:type="dxa" w:w="8438"/>
            <w:tcMar>
              <w:top w:w="80" w:type="dxa"/>
              <w:start w:w="110" w:type="dxa"/>
              <w:bottom w:w="80" w:type="dxa"/>
              <w:end w:w="110" w:type="dxa"/>
            </w:tcMar>
            <w:vAlign w:val="center"/>
          </w:tcPr>
          <w:p>
            <w:pPr>
              <w:widowControl/>
              <w:spacing w:after="0"/>
            </w:pPr>
            <w:r>
              <w:rPr>
                <w:rFonts w:ascii="Calibri" w:hAnsi="Calibri"/>
                <w:b w:val="0"/>
                <w:color w:val="1F2937"/>
                <w:sz w:val="16"/>
              </w:rPr>
              <w:t>Controlled window, communication, monitoring and rollback readiness.</w:t>
            </w:r>
          </w:p>
        </w:tc>
      </w:tr>
      <w:tr>
        <w:trPr>
          <w:cantSplit/>
        </w:trPr>
        <w:tc>
          <w:tcPr>
            <w:tcW w:type="dxa" w:w="1440"/>
            <w:tcMar>
              <w:top w:w="80" w:type="dxa"/>
              <w:start w:w="110" w:type="dxa"/>
              <w:bottom w:w="80" w:type="dxa"/>
              <w:end w:w="110" w:type="dxa"/>
            </w:tcMar>
            <w:vAlign w:val="center"/>
            <w:shd w:fill="F8FAFC"/>
          </w:tcPr>
          <w:p>
            <w:pPr>
              <w:widowControl/>
              <w:spacing w:after="0"/>
            </w:pPr>
            <w:r>
              <w:rPr>
                <w:rFonts w:ascii="Calibri" w:hAnsi="Calibri"/>
                <w:b/>
                <w:color w:val="1F4D78"/>
                <w:sz w:val="16"/>
              </w:rPr>
              <w:t>Close</w:t>
            </w:r>
          </w:p>
        </w:tc>
        <w:tc>
          <w:tcPr>
            <w:tcW w:type="dxa" w:w="8438"/>
            <w:tcMar>
              <w:top w:w="80" w:type="dxa"/>
              <w:start w:w="110" w:type="dxa"/>
              <w:bottom w:w="80" w:type="dxa"/>
              <w:end w:w="110" w:type="dxa"/>
            </w:tcMar>
            <w:vAlign w:val="center"/>
            <w:shd w:fill="F8FAFC"/>
          </w:tcPr>
          <w:p>
            <w:pPr>
              <w:widowControl/>
              <w:spacing w:after="0"/>
            </w:pPr>
            <w:r>
              <w:rPr>
                <w:rFonts w:ascii="Calibri" w:hAnsi="Calibri"/>
                <w:b w:val="0"/>
                <w:color w:val="1F2937"/>
                <w:sz w:val="16"/>
              </w:rPr>
              <w:t>Verify outcome, update D03/D04/D05/D10/D14 and retain evidence.</w:t>
            </w:r>
          </w:p>
        </w:tc>
      </w:tr>
      <w:tr>
        <w:trPr>
          <w:cantSplit/>
        </w:trPr>
        <w:tc>
          <w:tcPr>
            <w:tcW w:type="dxa" w:w="1440"/>
            <w:tcMar>
              <w:top w:w="80" w:type="dxa"/>
              <w:start w:w="110" w:type="dxa"/>
              <w:bottom w:w="80" w:type="dxa"/>
              <w:end w:w="110" w:type="dxa"/>
            </w:tcMar>
            <w:vAlign w:val="center"/>
          </w:tcPr>
          <w:p>
            <w:pPr>
              <w:widowControl/>
              <w:spacing w:after="0"/>
            </w:pPr>
            <w:r>
              <w:rPr>
                <w:rFonts w:ascii="Calibri" w:hAnsi="Calibri"/>
                <w:b/>
                <w:color w:val="1F4D78"/>
                <w:sz w:val="16"/>
              </w:rPr>
              <w:t>Emergency</w:t>
            </w:r>
          </w:p>
        </w:tc>
        <w:tc>
          <w:tcPr>
            <w:tcW w:type="dxa" w:w="8438"/>
            <w:tcMar>
              <w:top w:w="80" w:type="dxa"/>
              <w:start w:w="110" w:type="dxa"/>
              <w:bottom w:w="80" w:type="dxa"/>
              <w:end w:w="110" w:type="dxa"/>
            </w:tcMar>
            <w:vAlign w:val="center"/>
          </w:tcPr>
          <w:p>
            <w:pPr>
              <w:widowControl/>
              <w:spacing w:after="0"/>
            </w:pPr>
            <w:r>
              <w:rPr>
                <w:rFonts w:ascii="Calibri" w:hAnsi="Calibri"/>
                <w:b w:val="0"/>
                <w:color w:val="1F2937"/>
                <w:sz w:val="16"/>
              </w:rPr>
              <w:t>Document urgency, approval, testing feasible in the circumstances and retrospective review.</w:t>
            </w:r>
          </w:p>
        </w:tc>
      </w:tr>
    </w:tbl>
    <w:p>
      <w:pPr>
        <w:widowControl/>
        <w:spacing w:after="0"/>
      </w:pPr>
    </w:p>
    <w:p>
      <w:pPr>
        <w:pStyle w:val="Heading1"/>
        <w:widowControl/>
      </w:pPr>
      <w:r>
        <w:t>16. Incident, provider and evidence interfaces</w:t>
      </w:r>
    </w:p>
    <w:p>
      <w:pPr>
        <w:widowControl/>
      </w:pPr>
      <w:r>
        <w:t>Security events and control failures shall be handled under D06 and recorded in D07 where they meet the incident definition. Provider weaknesses are managed through D09–D11. Each control owner shall index current evidence in D14, including source, period, reviewer, retention and next due date.</w:t>
      </w:r>
    </w:p>
    <w:p>
      <w:pPr>
        <w:pStyle w:val="Heading1"/>
        <w:widowControl/>
      </w:pPr>
      <w:r>
        <w:t>17. Exceptions, compliance and review</w:t>
      </w:r>
    </w:p>
    <w:p>
      <w:pPr>
        <w:widowControl/>
      </w:pPr>
      <w:r>
        <w:t>No exception may waive applicable law. Exceptions require documented scope, reason, risk, compensating controls, owner, expiry and approval under D01. Material non-compliance shall be reported to management and, if required, the management body. This Policy shall be reviewed at least annually and on material change, incident, test/audit finding or legal change.</w:t>
      </w:r>
    </w:p>
    <w:p>
      <w:pPr>
        <w:widowControl/>
      </w:pPr>
      <w:r>
        <w:br w:type="page"/>
      </w:r>
    </w:p>
    <w:p>
      <w:pPr>
        <w:pStyle w:val="Heading1"/>
        <w:widowControl/>
      </w:pPr>
      <w:r>
        <w:t>Requirements addressed by this deliverable</w:t>
      </w:r>
    </w:p>
    <w:p>
      <w:pPr>
        <w:widowControl/>
      </w:pPr>
      <w:r>
        <w:t>This schedule is generated from the suite’s controlling traceability dataset. Primary and supporting mappings must be reconciled whenever this document changes. 47 requirement records are associated with D02.</w:t>
      </w:r>
    </w:p>
    <w:tbl>
      <w:tblPr>
        <w:tblStyle w:val="TableGrid"/>
        <w:tblW w:type="auto" w:w="0"/>
        <w:jc w:val="center"/>
        <w:tblLayout w:type="fixed"/>
        <w:tblLook w:firstColumn="1" w:firstRow="1" w:lastColumn="0" w:lastRow="0" w:noHBand="0" w:noVBand="1" w:val="04A0"/>
      </w:tblPr>
      <w:tblGrid>
        <w:gridCol w:w="1512"/>
        <w:gridCol w:w="1800"/>
        <w:gridCol w:w="1584"/>
        <w:gridCol w:w="2232"/>
        <w:gridCol w:w="2750"/>
      </w:tblGrid>
      <w:tr>
        <w:trPr>
          <w:tblHeader w:val="true"/>
        </w:trPr>
        <w:tc>
          <w:tcPr>
            <w:tcW w:type="dxa" w:w="1512"/>
            <w:shd w:fill="17365D"/>
            <w:tcMar>
              <w:top w:w="80" w:type="dxa"/>
              <w:start w:w="110" w:type="dxa"/>
              <w:bottom w:w="80" w:type="dxa"/>
              <w:end w:w="110" w:type="dxa"/>
            </w:tcMar>
            <w:vAlign w:val="center"/>
          </w:tcPr>
          <w:p>
            <w:pPr>
              <w:widowControl/>
            </w:pPr>
            <w:r>
              <w:rPr>
                <w:rFonts w:ascii="Calibri" w:hAnsi="Calibri"/>
                <w:b/>
                <w:color w:val="FFFFFF"/>
                <w:sz w:val="13"/>
              </w:rPr>
              <w:t>ID</w:t>
            </w:r>
          </w:p>
        </w:tc>
        <w:tc>
          <w:tcPr>
            <w:tcW w:type="dxa" w:w="1800"/>
            <w:shd w:fill="17365D"/>
            <w:tcMar>
              <w:top w:w="80" w:type="dxa"/>
              <w:start w:w="110" w:type="dxa"/>
              <w:bottom w:w="80" w:type="dxa"/>
              <w:end w:w="110" w:type="dxa"/>
            </w:tcMar>
            <w:vAlign w:val="center"/>
          </w:tcPr>
          <w:p>
            <w:pPr>
              <w:widowControl/>
            </w:pPr>
            <w:r>
              <w:rPr>
                <w:rFonts w:ascii="Calibri" w:hAnsi="Calibri"/>
                <w:b/>
                <w:color w:val="FFFFFF"/>
                <w:sz w:val="13"/>
              </w:rPr>
              <w:t>Reference</w:t>
            </w:r>
          </w:p>
        </w:tc>
        <w:tc>
          <w:tcPr>
            <w:tcW w:type="dxa" w:w="1584"/>
            <w:shd w:fill="17365D"/>
            <w:tcMar>
              <w:top w:w="80" w:type="dxa"/>
              <w:start w:w="110" w:type="dxa"/>
              <w:bottom w:w="80" w:type="dxa"/>
              <w:end w:w="110" w:type="dxa"/>
            </w:tcMar>
            <w:vAlign w:val="center"/>
          </w:tcPr>
          <w:p>
            <w:pPr>
              <w:widowControl/>
            </w:pPr>
            <w:r>
              <w:rPr>
                <w:rFonts w:ascii="Calibri" w:hAnsi="Calibri"/>
                <w:b/>
                <w:color w:val="FFFFFF"/>
                <w:sz w:val="13"/>
              </w:rPr>
              <w:t>Applicability</w:t>
            </w:r>
          </w:p>
        </w:tc>
        <w:tc>
          <w:tcPr>
            <w:tcW w:type="dxa" w:w="2232"/>
            <w:shd w:fill="17365D"/>
            <w:tcMar>
              <w:top w:w="80" w:type="dxa"/>
              <w:start w:w="110" w:type="dxa"/>
              <w:bottom w:w="80" w:type="dxa"/>
              <w:end w:w="110" w:type="dxa"/>
            </w:tcMar>
            <w:vAlign w:val="center"/>
          </w:tcPr>
          <w:p>
            <w:pPr>
              <w:widowControl/>
            </w:pPr>
            <w:r>
              <w:rPr>
                <w:rFonts w:ascii="Calibri" w:hAnsi="Calibri"/>
                <w:b/>
                <w:color w:val="FFFFFF"/>
                <w:sz w:val="13"/>
              </w:rPr>
              <w:t>Location / role</w:t>
            </w:r>
          </w:p>
        </w:tc>
        <w:tc>
          <w:tcPr>
            <w:tcW w:type="dxa" w:w="2750"/>
            <w:shd w:fill="17365D"/>
            <w:tcMar>
              <w:top w:w="80" w:type="dxa"/>
              <w:start w:w="110" w:type="dxa"/>
              <w:bottom w:w="80" w:type="dxa"/>
              <w:end w:w="110" w:type="dxa"/>
            </w:tcMar>
            <w:vAlign w:val="center"/>
          </w:tcPr>
          <w:p>
            <w:pPr>
              <w:widowControl/>
            </w:pPr>
            <w:r>
              <w:rPr>
                <w:rFonts w:ascii="Calibri" w:hAnsi="Calibri"/>
                <w:b/>
                <w:color w:val="FFFFFF"/>
                <w:sz w:val="13"/>
              </w:rPr>
              <w:t>Requirement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DORA-A16-P1-B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16(1)(b)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8–12 — Operations, monitoring and system security</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continuously monitor the security and functioning of all ICT systems;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DORA-A16-P1-C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16(1)(c)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8–12 — Operations, monitoring and system security</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minimise the impact of ICT risk through the use of sound, resilient and updated ICT systems, protocols and tools which are appropriate to support the performance of their activities and the provision of service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DORA-A16-P1-D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16(1)(d)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8–12 — Operations, monitoring and system security</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allow sources of ICT risk and anomalies in the network and information systems to be promptly identified and detected and ICT-related incidents to be swiftly handled;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DORA-A16-P3-B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16(3)(b)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8–12 — Operations, monitoring and system security</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specify further the elements in relation to systems, protocols and tools to minimise the impact of ICT risk referred to in paragraph 1, second subparagraph, point (c), with a view to ensuring the security of ne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DORA-A16-P3-C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DORA Article 16(3)(c)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8–12 — Operations, monitoring and system security</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specify further the components of the ICT business continuity plans referred to in paragraph 1, second subparagraph, point (f);</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DORA-A16-P3-D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DORA Article 16(3)(d)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8–12 — Operations, monitoring and system security</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specify further the rules on the testing of business continuity plans and ensure the effectiveness of the controls referred to in paragraph 1, second subparagraph, point (g) and ensure that such testing duly ta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RTS1774-A29-P1</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29(1)</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2–17 — Information security policy and measures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entities referred to in Article 16(1) of Regulation (EU) 2022/2554 shall develop, document, and implement an information security policy in the context of the simplified ICT risk management framew</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RTS1774-A29-P2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29(2)</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2–17 — Information security policy and measures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Based on their information security policy referred to in paragraph 1, the financial entities referred to in paragraph 1 shall establish and implement ICT security measures to mitigate their exposure to ICT ris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RTS1774-A29-P2-3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29(2)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2–17 — Information security policy and measures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ICT security measures shall include all of the measures referred to in Articles 30 to 38.</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RTS1774-A30-P1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30(1)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As part of the simplified ICT risk management framework referred to in Article 16(1), point (a), of Regulation (EU) 2022/2554, the financial entities referred to in paragraph 1 of that Article shall identify, c</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RTS1774-A30-P2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30(2)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Supporting evidence / interface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entities referred to in paragraph 1 shall identify all critical or important functions supported by ICT third-party service providers.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RTS1774-A32-P1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32(1)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7 — Physical and environmental security</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 xml:space="preserve">The financial entities referred to in Article 16(1) of Regulation (EU) 2022/2554 shall identify and implement physical security measures designed on the basis of the threat landscape and in accordance with the </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RTS1774-A32-P2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32(2)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7 — Physical and environmental security</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measures referred to in paragraph 1 shall protect the premises of financial entities and, where applicable, data centres of financial entities where ICT assets and information assets reside from unauthorise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RTS1774-A32-P3</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32(3)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7 — Physical and environmental security</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protection from environmental threats and hazards shall be commensurate with the importance of the premises concerned and, where applicable, the data centres and the criticality of the operations or ICT sys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RTS1774-A33-Part_33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33(art_33)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5–6 — Identity, access and privileged access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The financial entities referred to in Article 16(1) of Regulation (EU) 2022/2554 shall develop, document, and implement procedures for the control of logical and physical access and shall enforce, monitor, and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RTS1774-A33-Part_33-2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33(art_33)</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5–6 — Identity, access and privileged access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For the purposes of point (c), the financial entity shall assign privileged, emergency, and administrator access on a need-to-use or an ad-hoc basis for all ICT systems, and shall be logged in accordance with 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RTS1774-A33-Part_33-3</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33(art_33)</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5–6 — Identity, access and privileged access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For the purposes of point (d), financial entities shall use strong authentication methods that are based on leading practices for remote access to the financial entities’ network, for privileged access, and for</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RTS1774-A33-Part_33-A</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33(art_33)(a)</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5–6 — Identity, access and privileged access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access rights to information assets, ICT assets, and their supported functions, and to critical locations of operation of the financial entity, are managed on a need-to-know, need-to-use and least privileges ba</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RTS1774-A33-Part_33-B</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33(art_33)(b)</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5–6 — Identity, access and privileged access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user accountability, which ensures that users can be identified for the actions performed in the ICT systems;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RTS1774-A33-Part_33-C</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33(art_33)(c)</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5–6 — Identity, access and privileged access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account management procedures to grant, change, or revoke access rights for user and generic accounts, including generic administrator accounts;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RTS1774-A33-Part_33-D</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33(art_33)(d)</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5–6 — Identity, access and privileged access</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authentication methods that are commensurate to the classification referred to in Article 30(1) and to the overall risk profile of ICT assets, and which are based on leading practices;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RTS1774-A33-Part_33-E</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33(art_33)(e)</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5–6 — Identity, access and privileged access</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access rights are periodically reviewed and are withdrawn when no longer required.</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RTS1774-A34-Part_34</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34(art_34)</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8–10 — ICT operations, vulnerabilities, patching and logging</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entities referred to in Article 16(1) of Regulation (EU) 2022/2554 shall, as part of their systems, protocols, and tools, and for all ICT assets: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RTS1774-A34-Part_34-2</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34(art_34)</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8–10 — ICT operations, vulnerabilities, patching and logging</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For the purposes of point (f), financial entities shall align the level of detail of the logs with their purpose and usage of the ICT asset producing those logs.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RTS1774-A34-Part_34-A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34(art_34)(a)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8–10 — ICT operations, vulnerabilities, patching and logging</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monitor and manage the lifecycle of all ICT assets;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RTS1774-A34-Part_34-B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34(art_34)(b)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8–10 — ICT operations, vulnerabilities, patching and logging</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monitor whether the ICT assets are supported by ICT third-party service providers of financial entities, where applicable;</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RTS1774-A34-Part_34-C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34(art_34)(c)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8–10 — ICT operations, vulnerabilities, patching and logging</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identify capacity requirements of their ICT assets and measures to maintain and improve the availability and efficiency of ICT systems and prevent ICT capacity shortages before they materialise;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RTS1774-A34-Part_34-D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34(art_34)(d)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8–10 — ICT operations, vulnerabilities, patching and logging</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perform automated vulnerability scanning and assessments of ICT assets commensurate to their classification as referred to in Article 30(1) and to the overall risk profile of the ICT asset, and deploy patches 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RTS1774-A34-Part_34-E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34(art_34)(e)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8–10 — ICT operations, vulnerabilities, patching and logging</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manage the risks related to outdated, unsupported, or legacy ICT assets;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RTS1774-A34-Part_34-F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34(art_34)(f)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8–10 — ICT operations, vulnerabilities, patching and logging</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log events related to logical and physical access control, ICT operations, including system and network traffic activities, and ICT change management;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RTS1774-A34-Part_34-G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34(art_34)(g)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8–10 — ICT operations, vulnerabilities, patching and logging</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identify and implement measures to monitor and analyse information on anomalous activities and behaviour for critical or important ICT operations;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RTS1774-A34-Part_34-H</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34(art_34)(h)</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8–10 — ICT operations, vulnerabilities, patching and logging</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implement measures to monitor relevant and up-to-date information about cyber threats;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RTS1774-A34-Part_34-I</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34(art_34)(i)</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8–10 — ICT operations, vulnerabilities, patching and logging</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implement measures to identify possible information leakages, malicious code and other security threats, and publicly known vulnerabilities in software and hardware, and check for corresponding new security upd</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RTS1774-A35-Part_35</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35(art_35)</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11–12 — Data, system, network and endpoint security</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Article 16(1) of Regulation (EU) 2022/2554 shall, as part of their systems, protocols, and tools, develop and implement safeguards that ensure the security of networks agai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RTS1774-A35-Part_35-A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35(art_35)(a)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11–12 — Data, system, network and endpoint security</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identification and implementation of measures to protect data in use, in transit, and at rest;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RTS1774-A35-Part_35-B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35(art_35)(b)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11–12 — Data, system, network and endpoint security</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identification and implementation of security measures regarding the use of software, data storage media, systems and endpoint devices that transfer and store data of the financial entity;</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RTS1774-A35-Part_35-C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35(art_35)(c)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11–12 — Data, system, network and endpoint security</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identification and implementation of measures to prevent and detect unauthorised connections to the financial entity’s network, and to secure the network traffic between the financial entity’s internal netw</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RTS1774-A35-Part_35-D</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35(art_35)(d)</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11–12 — Data, system, network and endpoint security</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identification and implementation of measures that ensure the availability, authenticity, integrity, and confidentiality of data during network transmissions;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RTS1774-A35-Part_35-E</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35(art_35)(e)</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11–12 — Data, system, network and endpoint security</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a process to securely delete data on premises, or that are stored externally, that the financial entity no longer needs to collect or store;</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RTS1774-A35-Part_35-F</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35(art_35)(f)</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Sections 11–12 — Data, system, network and endpoint security</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a process to securely dispose of, or decommission, data storage devices on premises, or data storage devices that are stored externally, that contain confidential information;</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RTS1774-A35-Part_35-G</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35(art_35)(g)</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Sections 11–12 — Data, system, network and endpoint security</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identification and implementation of measures to ensure that teleworking and the use of private endpoint devices does not adversely impact the financial entity’s ability to carry out its critical activities</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RTS1774-A37-Part_37</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37(art_37)</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14 — ICT acquisition, development and maintenance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Article 16(1) of Regulation (EU) 2022/2554 shall design and implement, where appropriate, a procedure governing the acquisition, development, and maintenance of ICT systems</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RTS1774-A37-Part_37-A</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37(art_37)(a)</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14 — ICT acquisition, development and maintenance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 xml:space="preserve">ensure that, before any acquisition or development of ICT systems takes place, the functional and non-functional requirements, including information security requirements, are clearly specified and approved by </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RTS1774-A37-Part_37-B</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37(art_37)(b)</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14 — ICT acquisition, development and maintenance</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ensure the testing and approval of ICT systems prior to their first use and before introducing changes to the production environment;</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RTS1774-A37-Part_37-C</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37(art_37)(c)</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14 — ICT acquisition, development and maintenance</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identify measures to mitigate the risk of unintentional alteration or intentional manipulation of the ICT systems during development and implementation in the production environment.</w:t>
            </w:r>
          </w:p>
        </w:tc>
      </w:tr>
      <w:tr>
        <w:trPr>
          <w:cantSplit/>
        </w:trPr>
        <w:tc>
          <w:tcPr>
            <w:tcW w:type="dxa" w:w="1512"/>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RTS1774-A38-P1</w:t>
            </w:r>
          </w:p>
        </w:tc>
        <w:tc>
          <w:tcPr>
            <w:tcW w:type="dxa" w:w="1800"/>
            <w:tcMar>
              <w:top w:w="80" w:type="dxa"/>
              <w:start w:w="110" w:type="dxa"/>
              <w:bottom w:w="80" w:type="dxa"/>
              <w:end w:w="110" w:type="dxa"/>
            </w:tcMar>
            <w:vAlign w:val="center"/>
            <w:shd w:fill="F8FAFC"/>
          </w:tcPr>
          <w:p>
            <w:pPr>
              <w:widowControl/>
              <w:spacing w:after="0"/>
            </w:pPr>
            <w:r>
              <w:rPr>
                <w:rFonts w:ascii="Calibri" w:hAnsi="Calibri"/>
                <w:b w:val="0"/>
                <w:color w:val="1F2937"/>
                <w:sz w:val="13"/>
              </w:rPr>
              <w:t>RTS1774 Article 38(1)</w:t>
            </w:r>
          </w:p>
        </w:tc>
        <w:tc>
          <w:tcPr>
            <w:tcW w:type="dxa" w:w="1584"/>
            <w:tcMar>
              <w:top w:w="80" w:type="dxa"/>
              <w:start w:w="110" w:type="dxa"/>
              <w:bottom w:w="80" w:type="dxa"/>
              <w:end w:w="110" w:type="dxa"/>
            </w:tcMar>
            <w:vAlign w:val="center"/>
            <w:shd w:fill="F8FAFC"/>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shd w:fill="F8FAFC"/>
          </w:tcPr>
          <w:p>
            <w:pPr>
              <w:widowControl/>
              <w:spacing w:after="0"/>
            </w:pPr>
            <w:r>
              <w:rPr>
                <w:rFonts w:ascii="Calibri" w:hAnsi="Calibri"/>
                <w:b w:val="0"/>
                <w:color w:val="1F2937"/>
                <w:sz w:val="13"/>
              </w:rPr>
              <w:t>Section 15 — Project and change management</w:t>
            </w:r>
          </w:p>
        </w:tc>
        <w:tc>
          <w:tcPr>
            <w:tcW w:type="dxa" w:w="2750"/>
            <w:tcMar>
              <w:top w:w="80" w:type="dxa"/>
              <w:start w:w="110" w:type="dxa"/>
              <w:bottom w:w="80" w:type="dxa"/>
              <w:end w:w="110" w:type="dxa"/>
            </w:tcMar>
            <w:vAlign w:val="center"/>
            <w:shd w:fill="F8FAFC"/>
          </w:tcPr>
          <w:p>
            <w:pPr>
              <w:widowControl/>
              <w:spacing w:after="0"/>
            </w:pPr>
            <w:r>
              <w:rPr>
                <w:rFonts w:ascii="Calibri" w:hAnsi="Calibri"/>
                <w:b w:val="0"/>
                <w:color w:val="1F2937"/>
                <w:sz w:val="13"/>
              </w:rPr>
              <w:t>The financial entities referred to in Article 16(1) of Regulation (EU) 2022/2554 shall develop, document, and implement an ICT project management procedure and shall specify the roles and responsibilities for i</w:t>
            </w:r>
          </w:p>
        </w:tc>
      </w:tr>
      <w:tr>
        <w:trPr>
          <w:cantSplit/>
        </w:trPr>
        <w:tc>
          <w:tcPr>
            <w:tcW w:type="dxa" w:w="1512"/>
            <w:tcMar>
              <w:top w:w="80" w:type="dxa"/>
              <w:start w:w="110" w:type="dxa"/>
              <w:bottom w:w="80" w:type="dxa"/>
              <w:end w:w="110" w:type="dxa"/>
            </w:tcMar>
            <w:vAlign w:val="center"/>
          </w:tcPr>
          <w:p>
            <w:pPr>
              <w:widowControl/>
              <w:spacing w:after="0"/>
            </w:pPr>
            <w:r>
              <w:rPr>
                <w:rFonts w:ascii="Calibri" w:hAnsi="Calibri"/>
                <w:b w:val="0"/>
                <w:color w:val="1F2937"/>
                <w:sz w:val="13"/>
              </w:rPr>
              <w:t>RTS1774-A38-P2</w:t>
            </w:r>
          </w:p>
        </w:tc>
        <w:tc>
          <w:tcPr>
            <w:tcW w:type="dxa" w:w="1800"/>
            <w:tcMar>
              <w:top w:w="80" w:type="dxa"/>
              <w:start w:w="110" w:type="dxa"/>
              <w:bottom w:w="80" w:type="dxa"/>
              <w:end w:w="110" w:type="dxa"/>
            </w:tcMar>
            <w:vAlign w:val="center"/>
          </w:tcPr>
          <w:p>
            <w:pPr>
              <w:widowControl/>
              <w:spacing w:after="0"/>
            </w:pPr>
            <w:r>
              <w:rPr>
                <w:rFonts w:ascii="Calibri" w:hAnsi="Calibri"/>
                <w:b w:val="0"/>
                <w:color w:val="1F2937"/>
                <w:sz w:val="13"/>
              </w:rPr>
              <w:t>RTS1774 Article 38(2)</w:t>
            </w:r>
          </w:p>
        </w:tc>
        <w:tc>
          <w:tcPr>
            <w:tcW w:type="dxa" w:w="1584"/>
            <w:tcMar>
              <w:top w:w="80" w:type="dxa"/>
              <w:start w:w="110" w:type="dxa"/>
              <w:bottom w:w="80" w:type="dxa"/>
              <w:end w:w="110" w:type="dxa"/>
            </w:tcMar>
            <w:vAlign w:val="center"/>
          </w:tcPr>
          <w:p>
            <w:pPr>
              <w:widowControl/>
              <w:spacing w:after="0"/>
            </w:pPr>
            <w:r>
              <w:rPr>
                <w:rFonts w:ascii="Calibri" w:hAnsi="Calibri"/>
                <w:b w:val="0"/>
                <w:color w:val="1F2937"/>
                <w:sz w:val="13"/>
              </w:rPr>
              <w:t>Applicable</w:t>
            </w:r>
          </w:p>
        </w:tc>
        <w:tc>
          <w:tcPr>
            <w:tcW w:type="dxa" w:w="2232"/>
            <w:tcMar>
              <w:top w:w="80" w:type="dxa"/>
              <w:start w:w="110" w:type="dxa"/>
              <w:bottom w:w="80" w:type="dxa"/>
              <w:end w:w="110" w:type="dxa"/>
            </w:tcMar>
            <w:vAlign w:val="center"/>
          </w:tcPr>
          <w:p>
            <w:pPr>
              <w:widowControl/>
              <w:spacing w:after="0"/>
            </w:pPr>
            <w:r>
              <w:rPr>
                <w:rFonts w:ascii="Calibri" w:hAnsi="Calibri"/>
                <w:b w:val="0"/>
                <w:color w:val="1F2937"/>
                <w:sz w:val="13"/>
              </w:rPr>
              <w:t>Section 15 — Project and change management</w:t>
            </w:r>
          </w:p>
        </w:tc>
        <w:tc>
          <w:tcPr>
            <w:tcW w:type="dxa" w:w="2750"/>
            <w:tcMar>
              <w:top w:w="80" w:type="dxa"/>
              <w:start w:w="110" w:type="dxa"/>
              <w:bottom w:w="80" w:type="dxa"/>
              <w:end w:w="110" w:type="dxa"/>
            </w:tcMar>
            <w:vAlign w:val="center"/>
          </w:tcPr>
          <w:p>
            <w:pPr>
              <w:widowControl/>
              <w:spacing w:after="0"/>
            </w:pPr>
            <w:r>
              <w:rPr>
                <w:rFonts w:ascii="Calibri" w:hAnsi="Calibri"/>
                <w:b w:val="0"/>
                <w:color w:val="1F2937"/>
                <w:sz w:val="13"/>
              </w:rPr>
              <w:t>The financial entities referred to in paragraph 1 shall develop, document, and implement an ICT change management procedure to ensure that all changes to ICT systems are recorded, tested, assessed, approved, im</w:t>
            </w:r>
          </w:p>
        </w:tc>
      </w:tr>
    </w:tbl>
    <w:p>
      <w:pPr>
        <w:widowControl/>
        <w:spacing w:after="0"/>
      </w:pPr>
    </w:p>
    <w:p>
      <w:pPr>
        <w:pStyle w:val="Heading1"/>
        <w:widowControl/>
      </w:pPr>
      <w:r>
        <w:t>Official source register</w:t>
      </w:r>
    </w:p>
    <w:tbl>
      <w:tblPr>
        <w:tblStyle w:val="TableGrid"/>
        <w:tblW w:type="auto" w:w="0"/>
        <w:jc w:val="center"/>
        <w:tblLayout w:type="fixed"/>
        <w:tblLook w:firstColumn="1" w:firstRow="1" w:lastColumn="0" w:lastRow="0" w:noHBand="0" w:noVBand="1" w:val="04A0"/>
      </w:tblPr>
      <w:tblGrid>
        <w:gridCol w:w="3528"/>
        <w:gridCol w:w="6350"/>
      </w:tblGrid>
      <w:tr>
        <w:trPr>
          <w:tblHeader w:val="true"/>
        </w:trPr>
        <w:tc>
          <w:tcPr>
            <w:tcW w:type="dxa" w:w="3528"/>
            <w:shd w:fill="17365D"/>
            <w:tcMar>
              <w:top w:w="80" w:type="dxa"/>
              <w:start w:w="110" w:type="dxa"/>
              <w:bottom w:w="80" w:type="dxa"/>
              <w:end w:w="110" w:type="dxa"/>
            </w:tcMar>
            <w:vAlign w:val="center"/>
          </w:tcPr>
          <w:p>
            <w:pPr>
              <w:widowControl/>
            </w:pPr>
            <w:r>
              <w:rPr>
                <w:rFonts w:ascii="Calibri" w:hAnsi="Calibri"/>
                <w:b/>
                <w:color w:val="FFFFFF"/>
                <w:sz w:val="15"/>
              </w:rPr>
              <w:t>Source</w:t>
            </w:r>
          </w:p>
        </w:tc>
        <w:tc>
          <w:tcPr>
            <w:tcW w:type="dxa" w:w="6350"/>
            <w:shd w:fill="17365D"/>
            <w:tcMar>
              <w:top w:w="80" w:type="dxa"/>
              <w:start w:w="110" w:type="dxa"/>
              <w:bottom w:w="80" w:type="dxa"/>
              <w:end w:w="110" w:type="dxa"/>
            </w:tcMar>
            <w:vAlign w:val="center"/>
          </w:tcPr>
          <w:p>
            <w:pPr>
              <w:widowControl/>
            </w:pPr>
            <w:r>
              <w:rPr>
                <w:rFonts w:ascii="Calibri" w:hAnsi="Calibri"/>
                <w:b/>
                <w:color w:val="FFFFFF"/>
                <w:sz w:val="15"/>
              </w:rPr>
              <w:t>Official URL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DORA</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https://eur-lex.europa.eu/eli/reg/2022/2554/oj/eng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Simplified ICT-risk RTS 2024/1774</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https://eur-lex.europa.eu/eli/reg_del/2024/1774/oj/eng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classification RTS 2024/1772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https://eur-lex.europa.eu/eli/reg_del/2024/1772/oj/eng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Incident content/timing RTS 2025/301</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https://eur-lex.europa.eu/eli/reg_del/2025/301/oj/eng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Incident forms ITS 2025/302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https://eur-lex.europa.eu/eli/reg_impl/2025/302/oj/eng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Register ITS 2024/2956</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https://eur-lex.europa.eu/eli/reg_impl/2024/2956/oj/eng</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Subcontracting RTS 2025/532</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https://eur-lex.europa.eu/eli/reg_del/2025/532/oj/eng</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Icelandic Act No. 78/2025</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https://www.althingi.is/lagas/nuna/2025078.html</w:t>
            </w:r>
          </w:p>
        </w:tc>
      </w:tr>
      <w:tr>
        <w:trPr>
          <w:cantSplit/>
        </w:trPr>
        <w:tc>
          <w:tcPr>
            <w:tcW w:type="dxa" w:w="3528"/>
            <w:tcMar>
              <w:top w:w="80" w:type="dxa"/>
              <w:start w:w="110" w:type="dxa"/>
              <w:bottom w:w="80" w:type="dxa"/>
              <w:end w:w="110" w:type="dxa"/>
            </w:tcMar>
            <w:vAlign w:val="center"/>
          </w:tcPr>
          <w:p>
            <w:pPr>
              <w:widowControl/>
              <w:spacing w:after="0"/>
            </w:pPr>
            <w:r>
              <w:rPr>
                <w:rFonts w:ascii="Calibri" w:hAnsi="Calibri"/>
                <w:b/>
                <w:color w:val="1F4D78"/>
                <w:sz w:val="15"/>
              </w:rPr>
              <w:t>Central Bank Rules No. 310/2026</w:t>
            </w:r>
          </w:p>
        </w:tc>
        <w:tc>
          <w:tcPr>
            <w:tcW w:type="dxa" w:w="6350"/>
            <w:tcMar>
              <w:top w:w="80" w:type="dxa"/>
              <w:start w:w="110" w:type="dxa"/>
              <w:bottom w:w="80" w:type="dxa"/>
              <w:end w:w="110" w:type="dxa"/>
            </w:tcMar>
            <w:vAlign w:val="center"/>
          </w:tcPr>
          <w:p>
            <w:pPr>
              <w:widowControl/>
              <w:spacing w:after="0"/>
            </w:pPr>
            <w:r>
              <w:rPr>
                <w:rFonts w:ascii="Calibri" w:hAnsi="Calibri"/>
                <w:b w:val="0"/>
                <w:color w:val="1F2937"/>
                <w:sz w:val="15"/>
              </w:rPr>
              <w:t>https://island.is/stjornartidindi/nr/87da1483-6a2a-412a-9021-30b9a817ad51</w:t>
            </w:r>
          </w:p>
        </w:tc>
      </w:tr>
      <w:tr>
        <w:trPr>
          <w:cantSplit/>
        </w:trPr>
        <w:tc>
          <w:tcPr>
            <w:tcW w:type="dxa" w:w="3528"/>
            <w:tcMar>
              <w:top w:w="80" w:type="dxa"/>
              <w:start w:w="110" w:type="dxa"/>
              <w:bottom w:w="80" w:type="dxa"/>
              <w:end w:w="110" w:type="dxa"/>
            </w:tcMar>
            <w:vAlign w:val="center"/>
            <w:shd w:fill="F8FAFC"/>
          </w:tcPr>
          <w:p>
            <w:pPr>
              <w:widowControl/>
              <w:spacing w:after="0"/>
            </w:pPr>
            <w:r>
              <w:rPr>
                <w:rFonts w:ascii="Calibri" w:hAnsi="Calibri"/>
                <w:b/>
                <w:color w:val="1F4D78"/>
                <w:sz w:val="15"/>
              </w:rPr>
              <w:t>Central Bank DORA guidance</w:t>
            </w:r>
          </w:p>
        </w:tc>
        <w:tc>
          <w:tcPr>
            <w:tcW w:type="dxa" w:w="6350"/>
            <w:tcMar>
              <w:top w:w="80" w:type="dxa"/>
              <w:start w:w="110" w:type="dxa"/>
              <w:bottom w:w="80" w:type="dxa"/>
              <w:end w:w="110" w:type="dxa"/>
            </w:tcMar>
            <w:vAlign w:val="center"/>
            <w:shd w:fill="F8FAFC"/>
          </w:tcPr>
          <w:p>
            <w:pPr>
              <w:widowControl/>
              <w:spacing w:after="0"/>
            </w:pPr>
            <w:r>
              <w:rPr>
                <w:rFonts w:ascii="Calibri" w:hAnsi="Calibri"/>
                <w:b w:val="0"/>
                <w:color w:val="1F2937"/>
                <w:sz w:val="15"/>
              </w:rPr>
              <w:t>https://sedlabanki.is/fjarmalaeftirlit/stafraenn-vidnamsthrottur-a-fjarmalamarkadi-dora/</w:t>
            </w:r>
          </w:p>
        </w:tc>
      </w:tr>
    </w:tbl>
    <w:p>
      <w:pPr>
        <w:widowControl/>
        <w:spacing w:after="0"/>
      </w:pPr>
    </w:p>
    <w:sectPr w:rsidR="00FC693F" w:rsidRPr="0006063C" w:rsidSect="00034616">
      <w:headerReference w:type="default" r:id="rId9"/>
      <w:footerReference w:type="default" r:id="rId10"/>
      <w:pgSz w:w="12240" w:h="15840"/>
      <w:pgMar w:top="1037" w:right="1181" w:bottom="979" w:left="1181" w:header="432"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68"/>
      <w:gridCol w:w="3542"/>
      <w:gridCol w:w="3168"/>
    </w:tblGrid>
    <w:tr>
      <w:tc>
        <w:tcPr>
          <w:tcW w:type="dxa" w:w="3168"/>
          <w:tcMar>
            <w:top w:w="40" w:type="dxa"/>
            <w:start w:w="0" w:type="dxa"/>
            <w:bottom w:w="0" w:type="dxa"/>
            <w:end w:w="0" w:type="dxa"/>
          </w:tcMar>
        </w:tcPr>
        <w:p>
          <w:r>
            <w:rPr>
              <w:rFonts w:ascii="Calibri" w:hAnsi="Calibri"/>
              <w:b w:val="0"/>
              <w:color w:val="667085"/>
              <w:sz w:val="15"/>
            </w:rPr>
            <w:t>[FIRM NAME]</w:t>
          </w:r>
        </w:p>
      </w:tc>
      <w:tc>
        <w:tcPr>
          <w:tcW w:type="dxa" w:w="3542"/>
          <w:tcMar>
            <w:top w:w="40" w:type="dxa"/>
            <w:start w:w="0" w:type="dxa"/>
            <w:bottom w:w="0" w:type="dxa"/>
            <w:end w:w="0" w:type="dxa"/>
          </w:tcMar>
        </w:tcPr>
        <w:p>
          <w:pPr>
            <w:jc w:val="center"/>
          </w:pPr>
          <w:r>
            <w:rPr>
              <w:rFonts w:ascii="Calibri" w:hAnsi="Calibri"/>
              <w:b w:val="0"/>
              <w:color w:val="667085"/>
              <w:sz w:val="15"/>
            </w:rPr>
            <w:t>CONFIDENTIAL — CONTROLLED TEMPLATE</w:t>
          </w:r>
        </w:p>
      </w:tc>
      <w:tc>
        <w:tcPr>
          <w:tcW w:type="dxa" w:w="3168"/>
          <w:tcMar>
            <w:top w:w="40" w:type="dxa"/>
            <w:start w:w="0" w:type="dxa"/>
            <w:bottom w:w="0" w:type="dxa"/>
            <w:end w:w="0" w:type="dxa"/>
          </w:tcMar>
        </w:tcPr>
        <w:p>
          <w:pPr>
            <w:jc w:val="right"/>
          </w:pPr>
          <w:r>
            <w:rPr>
              <w:rFonts w:ascii="Calibri" w:hAnsi="Calibri"/>
              <w:b w:val="0"/>
              <w:color w:val="667085"/>
              <w:sz w:val="15"/>
            </w:rPr>
            <w:t xml:space="preserve">Page </w:t>
          </w:r>
          <w:r>
            <w:fldChar w:fldCharType="begin"/>
            <w:instrText xml:space="preserve">PAGE</w:instrText>
            <w:fldChar w:fldCharType="end"/>
          </w:r>
          <w:r>
            <w:rPr>
              <w:rFonts w:ascii="Calibri" w:hAnsi="Calibri"/>
              <w:b w:val="0"/>
              <w:color w:val="667085"/>
              <w:sz w:val="15"/>
            </w:rPr>
            <w:t xml:space="preserve"> of </w:t>
          </w:r>
          <w:r>
            <w:fldChar w:fldCharType="begin"/>
            <w:instrText xml:space="preserve">NUMPAGES</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color w:val="667085"/>
        <w:sz w:val="15"/>
      </w:rPr>
      <w:t>D02  |  INFORMATION SECURITY &amp; ICT OPERATIONS POLICY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69" w:lineRule="auto"/>
    </w:pPr>
    <w:rPr>
      <w:rFonts w:ascii="Calibri" w:hAnsi="Calibri"/>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Calibri" w:hAnsi="Calibri"/>
      <w:b/>
      <w:bCs/>
      <w:color w:val="1F4D7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ind w:left="461" w:hanging="259"/>
      <w:contextualSpacing/>
    </w:pPr>
    <w:rPr>
      <w:rFonts w:ascii="Calibri" w:hAnsi="Calibri"/>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ind w:left="461" w:hanging="259"/>
      <w:contextualSpacing/>
    </w:pPr>
    <w:rPr>
      <w:rFonts w:ascii="Calibri" w:hAnsi="Calibri"/>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raftingNote">
    <w:name w:val="Drafting Note"/>
    <w:pPr>
      <w:spacing w:after="80"/>
    </w:pPr>
    <w:rPr>
      <w:rFonts w:ascii="Calibri" w:hAnsi="Calibri"/>
      <w:i/>
      <w:color w:val="667085"/>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Security &amp; ICT Operations Policy</dc:title>
  <dc:subject>Reusable internal template for an SNI investment firm</dc:subject>
  <dc:creator>DORA SNI Documentation &amp; Implementation Suite v1.0</dc:creator>
  <cp:keywords/>
  <dc:description>generated by python-docx</dc:description>
  <cp:lastModifiedBy/>
  <cp:revision>1</cp:revision>
  <dcterms:created xsi:type="dcterms:W3CDTF">2013-12-23T23:15:00Z</dcterms:created>
  <dcterms:modified xsi:type="dcterms:W3CDTF">2013-12-23T23:15:00Z</dcterms:modified>
  <cp:category/>
</cp:coreProperties>
</file>