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520"/>
      </w:pPr>
    </w:p>
    <w:p>
      <w:pPr>
        <w:widowControl/>
        <w:spacing w:after="240"/>
        <w:jc w:val="left"/>
      </w:pPr>
      <w:r>
        <w:rPr>
          <w:b/>
          <w:color w:val="0F6B78"/>
          <w:sz w:val="36"/>
        </w:rPr>
        <w:t>D01</w:t>
      </w:r>
    </w:p>
    <w:p>
      <w:pPr>
        <w:widowControl/>
        <w:spacing w:after="360" w:line="235" w:lineRule="auto"/>
      </w:pPr>
      <w:r>
        <w:rPr>
          <w:b/>
          <w:color w:val="17365D"/>
          <w:sz w:val="58"/>
        </w:rPr>
        <w:t>DORA Governance &amp;</w:t>
        <w:br/>
        <w:t>Simplified ICT Risk</w:t>
        <w:br/>
        <w:t>Management Framework</w:t>
      </w:r>
    </w:p>
    <w:p>
      <w:pPr>
        <w:widowControl/>
        <w:spacing w:after="560"/>
      </w:pPr>
      <w:r>
        <w:rPr>
          <w:b/>
          <w:color w:val="FFFFFF"/>
          <w:sz w:val="20"/>
          <w:shd w:fill="0F6B78"/>
        </w:rPr>
        <w:t>BOARD-APPROVED TEMPLATE</w:t>
      </w:r>
    </w:p>
    <w:tbl>
      <w:tblPr>
        <w:tblW w:type="auto" w:w="0"/>
        <w:jc w:val="left"/>
        <w:tblLayout w:type="fixed"/>
        <w:tblLook w:firstColumn="1" w:firstRow="1" w:lastColumn="0" w:lastRow="0" w:noHBand="0" w:noVBand="1" w:val="04A0"/>
      </w:tblPr>
      <w:tblGrid>
        <w:gridCol w:w="2476"/>
        <w:gridCol w:w="7401"/>
      </w:tblGrid>
      <w:tr>
        <w:tc>
          <w:tcPr>
            <w:tcW w:type="dxa" w:w="2476"/>
            <w:shd w:fill="E8EEF5"/>
            <w:tcMar>
              <w:top w:w="100" w:type="dxa"/>
              <w:start w:w="120" w:type="dxa"/>
              <w:bottom w:w="100" w:type="dxa"/>
              <w:end w:w="120" w:type="dxa"/>
            </w:tcMar>
            <w:tcBorders>
              <w:top w:val="single" w:sz="4" w:color="B8C4D1"/>
              <w:left w:val="single" w:sz="4" w:color="B8C4D1"/>
              <w:bottom w:val="single" w:sz="4" w:color="B8C4D1"/>
              <w:right w:val="single" w:sz="4" w:color="B8C4D1"/>
            </w:tcBorders>
            <w:vAlign w:val="center"/>
          </w:tcPr>
          <w:p>
            <w:pPr>
              <w:widowControl/>
            </w:pPr>
            <w:r>
              <w:rPr>
                <w:rFonts w:ascii="Calibri" w:hAnsi="Calibri"/>
                <w:b/>
                <w:color w:val="1F4D78"/>
                <w:sz w:val="16"/>
              </w:rPr>
              <w:t>ENTITY</w:t>
            </w:r>
          </w:p>
        </w:tc>
        <w:tc>
          <w:tcPr>
            <w:tcW w:type="dxa" w:w="7401"/>
            <w:tcMar>
              <w:top w:w="100" w:type="dxa"/>
              <w:start w:w="120" w:type="dxa"/>
              <w:bottom w:w="100" w:type="dxa"/>
              <w:end w:w="120" w:type="dxa"/>
            </w:tcMar>
            <w:tcBorders>
              <w:top w:val="single" w:sz="4" w:color="B8C4D1"/>
              <w:left w:val="single" w:sz="4" w:color="B8C4D1"/>
              <w:bottom w:val="single" w:sz="4" w:color="B8C4D1"/>
              <w:right w:val="single" w:sz="4" w:color="B8C4D1"/>
            </w:tcBorders>
            <w:vAlign w:val="center"/>
          </w:tcPr>
          <w:p>
            <w:pPr>
              <w:widowControl/>
              <w:spacing w:after="0"/>
            </w:pPr>
            <w:r>
              <w:rPr>
                <w:rFonts w:ascii="Calibri" w:hAnsi="Calibri"/>
                <w:b/>
                <w:color w:val="17365D"/>
                <w:shd w:fill="FFF2CC"/>
              </w:rPr>
              <w:t>[ENTITY LEGAL NAME]</w:t>
            </w:r>
          </w:p>
        </w:tc>
      </w:tr>
      <w:tr>
        <w:tc>
          <w:tcPr>
            <w:tcW w:type="dxa" w:w="2476"/>
            <w:shd w:fill="E8EEF5"/>
            <w:tcMar>
              <w:top w:w="100" w:type="dxa"/>
              <w:start w:w="120" w:type="dxa"/>
              <w:bottom w:w="100" w:type="dxa"/>
              <w:end w:w="120" w:type="dxa"/>
            </w:tcMar>
            <w:tcBorders>
              <w:top w:val="single" w:sz="4" w:color="B8C4D1"/>
              <w:left w:val="single" w:sz="4" w:color="B8C4D1"/>
              <w:bottom w:val="single" w:sz="4" w:color="B8C4D1"/>
              <w:right w:val="single" w:sz="4" w:color="B8C4D1"/>
            </w:tcBorders>
            <w:vAlign w:val="center"/>
          </w:tcPr>
          <w:p>
            <w:pPr>
              <w:widowControl/>
            </w:pPr>
            <w:r>
              <w:rPr>
                <w:rFonts w:ascii="Calibri" w:hAnsi="Calibri"/>
                <w:b/>
                <w:color w:val="1F4D78"/>
                <w:sz w:val="16"/>
              </w:rPr>
              <w:t>DOCUMENT OWNER</w:t>
            </w:r>
          </w:p>
        </w:tc>
        <w:tc>
          <w:tcPr>
            <w:tcW w:type="dxa" w:w="7401"/>
            <w:tcMar>
              <w:top w:w="100" w:type="dxa"/>
              <w:start w:w="120" w:type="dxa"/>
              <w:bottom w:w="100" w:type="dxa"/>
              <w:end w:w="120" w:type="dxa"/>
            </w:tcMar>
            <w:tcBorders>
              <w:top w:val="single" w:sz="4" w:color="B8C4D1"/>
              <w:left w:val="single" w:sz="4" w:color="B8C4D1"/>
              <w:bottom w:val="single" w:sz="4" w:color="B8C4D1"/>
              <w:right w:val="single" w:sz="4" w:color="B8C4D1"/>
            </w:tcBorders>
            <w:vAlign w:val="center"/>
          </w:tcPr>
          <w:p>
            <w:pPr>
              <w:widowControl/>
              <w:spacing w:after="0"/>
            </w:pPr>
            <w:r>
              <w:rPr>
                <w:rFonts w:ascii="Calibri" w:hAnsi="Calibri"/>
                <w:b/>
                <w:color w:val="17365D"/>
                <w:shd w:fill="FFF2CC"/>
              </w:rPr>
              <w:t>[ROLE / FUNCTION]</w:t>
            </w:r>
          </w:p>
        </w:tc>
      </w:tr>
      <w:tr>
        <w:tc>
          <w:tcPr>
            <w:tcW w:type="dxa" w:w="2476"/>
            <w:shd w:fill="E8EEF5"/>
            <w:tcMar>
              <w:top w:w="100" w:type="dxa"/>
              <w:start w:w="120" w:type="dxa"/>
              <w:bottom w:w="100" w:type="dxa"/>
              <w:end w:w="120" w:type="dxa"/>
            </w:tcMar>
            <w:tcBorders>
              <w:top w:val="single" w:sz="4" w:color="B8C4D1"/>
              <w:left w:val="single" w:sz="4" w:color="B8C4D1"/>
              <w:bottom w:val="single" w:sz="4" w:color="B8C4D1"/>
              <w:right w:val="single" w:sz="4" w:color="B8C4D1"/>
            </w:tcBorders>
            <w:vAlign w:val="center"/>
          </w:tcPr>
          <w:p>
            <w:pPr>
              <w:widowControl/>
            </w:pPr>
            <w:r>
              <w:rPr>
                <w:rFonts w:ascii="Calibri" w:hAnsi="Calibri"/>
                <w:b/>
                <w:color w:val="1F4D78"/>
                <w:sz w:val="16"/>
              </w:rPr>
              <w:t>APPROVED BY</w:t>
            </w:r>
          </w:p>
        </w:tc>
        <w:tc>
          <w:tcPr>
            <w:tcW w:type="dxa" w:w="7401"/>
            <w:tcMar>
              <w:top w:w="100" w:type="dxa"/>
              <w:start w:w="120" w:type="dxa"/>
              <w:bottom w:w="100" w:type="dxa"/>
              <w:end w:w="120" w:type="dxa"/>
            </w:tcMar>
            <w:tcBorders>
              <w:top w:val="single" w:sz="4" w:color="B8C4D1"/>
              <w:left w:val="single" w:sz="4" w:color="B8C4D1"/>
              <w:bottom w:val="single" w:sz="4" w:color="B8C4D1"/>
              <w:right w:val="single" w:sz="4" w:color="B8C4D1"/>
            </w:tcBorders>
            <w:vAlign w:val="center"/>
          </w:tcPr>
          <w:p>
            <w:pPr>
              <w:widowControl/>
              <w:spacing w:after="0"/>
            </w:pPr>
            <w:r>
              <w:rPr>
                <w:rFonts w:ascii="Calibri" w:hAnsi="Calibri"/>
                <w:b/>
                <w:color w:val="17365D"/>
                <w:shd w:fill="FFF2CC"/>
              </w:rPr>
              <w:t>[BOARD / MANAGEMENT BODY]</w:t>
            </w:r>
          </w:p>
        </w:tc>
      </w:tr>
      <w:tr>
        <w:tc>
          <w:tcPr>
            <w:tcW w:type="dxa" w:w="2476"/>
            <w:shd w:fill="E8EEF5"/>
            <w:tcMar>
              <w:top w:w="100" w:type="dxa"/>
              <w:start w:w="120" w:type="dxa"/>
              <w:bottom w:w="100" w:type="dxa"/>
              <w:end w:w="120" w:type="dxa"/>
            </w:tcMar>
            <w:tcBorders>
              <w:top w:val="single" w:sz="4" w:color="B8C4D1"/>
              <w:left w:val="single" w:sz="4" w:color="B8C4D1"/>
              <w:bottom w:val="single" w:sz="4" w:color="B8C4D1"/>
              <w:right w:val="single" w:sz="4" w:color="B8C4D1"/>
            </w:tcBorders>
            <w:vAlign w:val="center"/>
          </w:tcPr>
          <w:p>
            <w:pPr>
              <w:widowControl/>
            </w:pPr>
            <w:r>
              <w:rPr>
                <w:rFonts w:ascii="Calibri" w:hAnsi="Calibri"/>
                <w:b/>
                <w:color w:val="1F4D78"/>
                <w:sz w:val="16"/>
              </w:rPr>
              <w:t>EFFECTIVE DATE</w:t>
            </w:r>
          </w:p>
        </w:tc>
        <w:tc>
          <w:tcPr>
            <w:tcW w:type="dxa" w:w="7401"/>
            <w:tcMar>
              <w:top w:w="100" w:type="dxa"/>
              <w:start w:w="120" w:type="dxa"/>
              <w:bottom w:w="100" w:type="dxa"/>
              <w:end w:w="120" w:type="dxa"/>
            </w:tcMar>
            <w:tcBorders>
              <w:top w:val="single" w:sz="4" w:color="B8C4D1"/>
              <w:left w:val="single" w:sz="4" w:color="B8C4D1"/>
              <w:bottom w:val="single" w:sz="4" w:color="B8C4D1"/>
              <w:right w:val="single" w:sz="4" w:color="B8C4D1"/>
            </w:tcBorders>
            <w:vAlign w:val="center"/>
          </w:tcPr>
          <w:p>
            <w:pPr>
              <w:widowControl/>
              <w:spacing w:after="0"/>
            </w:pPr>
            <w:r>
              <w:rPr>
                <w:rFonts w:ascii="Calibri" w:hAnsi="Calibri"/>
                <w:b/>
                <w:color w:val="17365D"/>
                <w:shd w:fill="FFF2CC"/>
              </w:rPr>
              <w:t>[DD MONTH YYYY]</w:t>
            </w:r>
          </w:p>
        </w:tc>
      </w:tr>
      <w:tr>
        <w:tc>
          <w:tcPr>
            <w:tcW w:type="dxa" w:w="2476"/>
            <w:shd w:fill="E8EEF5"/>
            <w:tcMar>
              <w:top w:w="100" w:type="dxa"/>
              <w:start w:w="120" w:type="dxa"/>
              <w:bottom w:w="100" w:type="dxa"/>
              <w:end w:w="120" w:type="dxa"/>
            </w:tcMar>
            <w:tcBorders>
              <w:top w:val="single" w:sz="4" w:color="B8C4D1"/>
              <w:left w:val="single" w:sz="4" w:color="B8C4D1"/>
              <w:bottom w:val="single" w:sz="4" w:color="B8C4D1"/>
              <w:right w:val="single" w:sz="4" w:color="B8C4D1"/>
            </w:tcBorders>
            <w:vAlign w:val="center"/>
          </w:tcPr>
          <w:p>
            <w:pPr>
              <w:widowControl/>
            </w:pPr>
            <w:r>
              <w:rPr>
                <w:rFonts w:ascii="Calibri" w:hAnsi="Calibri"/>
                <w:b/>
                <w:color w:val="1F4D78"/>
                <w:sz w:val="16"/>
              </w:rPr>
              <w:t>CLASSIFICATION</w:t>
            </w:r>
          </w:p>
        </w:tc>
        <w:tc>
          <w:tcPr>
            <w:tcW w:type="dxa" w:w="7401"/>
            <w:tcMar>
              <w:top w:w="100" w:type="dxa"/>
              <w:start w:w="120" w:type="dxa"/>
              <w:bottom w:w="100" w:type="dxa"/>
              <w:end w:w="120" w:type="dxa"/>
            </w:tcMar>
            <w:tcBorders>
              <w:top w:val="single" w:sz="4" w:color="B8C4D1"/>
              <w:left w:val="single" w:sz="4" w:color="B8C4D1"/>
              <w:bottom w:val="single" w:sz="4" w:color="B8C4D1"/>
              <w:right w:val="single" w:sz="4" w:color="B8C4D1"/>
            </w:tcBorders>
            <w:vAlign w:val="center"/>
          </w:tcPr>
          <w:p>
            <w:pPr>
              <w:widowControl/>
              <w:spacing w:after="0"/>
            </w:pPr>
            <w:r>
              <w:rPr>
                <w:rFonts w:ascii="Calibri" w:hAnsi="Calibri"/>
                <w:b/>
                <w:color w:val="17365D"/>
                <w:shd w:fill="FFF2CC"/>
              </w:rPr>
              <w:t>[CONFIDENTIAL — INTERNAL]</w:t>
            </w:r>
          </w:p>
        </w:tc>
      </w:tr>
    </w:tbl>
    <w:p>
      <w:pPr>
        <w:widowControl/>
        <w:spacing w:after="320"/>
      </w:pPr>
    </w:p>
    <w:tbl>
      <w:tblPr>
        <w:tblW w:type="auto" w:w="0"/>
        <w:jc w:val="center"/>
        <w:tblLayout w:type="fixed"/>
        <w:tblLook w:firstColumn="1" w:firstRow="1" w:lastColumn="0" w:lastRow="0" w:noHBand="0" w:noVBand="1" w:val="04A0"/>
      </w:tblPr>
      <w:tblGrid>
        <w:gridCol w:w="172"/>
        <w:gridCol w:w="9705"/>
      </w:tblGrid>
      <w:tr>
        <w:tc>
          <w:tcPr>
            <w:tcW w:type="dxa" w:w="172"/>
            <w:shd w:fill="0F6B78"/>
            <w:tcMar>
              <w:top w:w="0" w:type="dxa"/>
              <w:start w:w="0" w:type="dxa"/>
              <w:bottom w:w="0" w:type="dxa"/>
              <w:end w:w="0" w:type="dxa"/>
            </w:tcMar>
            <w:tcBorders>
              <w:top w:val="nil"/>
              <w:left w:val="nil"/>
              <w:bottom w:val="nil"/>
              <w:right w:val="nil"/>
            </w:tcBorders>
            <w:vAlign w:val="center"/>
          </w:tcPr>
          <w:p>
            <w:pPr>
              <w:widowControl/>
            </w:pPr>
          </w:p>
        </w:tc>
        <w:tc>
          <w:tcPr>
            <w:tcW w:type="dxa" w:w="9705"/>
            <w:shd w:fill="F3F7FA"/>
            <w:tcMar>
              <w:top w:w="120" w:type="dxa"/>
              <w:start w:w="150" w:type="dxa"/>
              <w:bottom w:w="120" w:type="dxa"/>
              <w:end w:w="150" w:type="dxa"/>
            </w:tcMar>
            <w:tcBorders>
              <w:top w:val="nil"/>
              <w:left w:val="nil"/>
              <w:bottom w:val="nil"/>
              <w:right w:val="nil"/>
            </w:tcBorders>
            <w:vAlign w:val="center"/>
          </w:tcPr>
          <w:p>
            <w:pPr>
              <w:widowControl/>
            </w:pPr>
            <w:r>
              <w:rPr>
                <w:rFonts w:ascii="Calibri" w:hAnsi="Calibri"/>
                <w:b/>
                <w:color w:val="0F6B78"/>
                <w:sz w:val="18"/>
              </w:rPr>
              <w:t>PURPOSE OF THIS DOCUMENT</w:t>
            </w:r>
            <w:r>
              <w:rPr>
                <w:rFonts w:ascii="Calibri" w:hAnsi="Calibri"/>
              </w:rPr>
              <w:br/>
              <w:t>This document establishes the firm’s governance and documented simplified ICT risk management framework under Article 16 DORA. It is designed for a small and non-interconnected investment firm and must be tailored to the firm’s actual business model, systems, providers and risk profile before approval.</w:t>
            </w:r>
          </w:p>
        </w:tc>
      </w:tr>
    </w:tbl>
    <w:p>
      <w:pPr>
        <w:widowControl/>
        <w:spacing w:before="440"/>
      </w:pPr>
      <w:r>
        <w:rPr>
          <w:b/>
          <w:color w:val="9B1C1C"/>
        </w:rPr>
        <w:t xml:space="preserve">Template status: </w:t>
      </w:r>
      <w:r>
        <w:t>All yellow-bracketed fields and drafting notes must be completed or removed before approval.</w:t>
      </w:r>
    </w:p>
    <w:p>
      <w:pPr>
        <w:widowControl/>
      </w:pPr>
      <w:r>
        <w:br w:type="page"/>
      </w:r>
    </w:p>
    <w:p>
      <w:pPr>
        <w:pStyle w:val="Heading1"/>
        <w:widowControl/>
      </w:pPr>
      <w:r>
        <w:t>Document control and approval</w:t>
      </w:r>
    </w:p>
    <w:tbl>
      <w:tblPr>
        <w:tblW w:type="auto" w:w="0"/>
        <w:jc w:val="center"/>
        <w:tblLayout w:type="fixed"/>
        <w:tblLook w:firstColumn="1" w:firstRow="1" w:lastColumn="0" w:lastRow="0" w:noHBand="0" w:noVBand="1" w:val="04A0"/>
      </w:tblPr>
      <w:tblGrid>
        <w:gridCol w:w="9878"/>
      </w:tblGrid>
      <w:tr>
        <w:tc>
          <w:tcPr>
            <w:tcW w:type="dxa" w:w="9878"/>
            <w:shd w:fill="F2F4F7"/>
            <w:tcBorders>
              <w:top w:val="single" w:sz="6" w:color="D0D5DD"/>
              <w:left w:val="single" w:sz="6" w:color="D0D5DD"/>
              <w:bottom w:val="single" w:sz="6" w:color="D0D5DD"/>
              <w:right w:val="single" w:sz="6" w:color="D0D5DD"/>
            </w:tcBorders>
            <w:vAlign w:val="center"/>
          </w:tcPr>
          <w:p>
            <w:pPr>
              <w:pStyle w:val="DraftingNote"/>
              <w:widowControl/>
            </w:pPr>
            <w:r>
              <w:rPr>
                <w:rFonts w:ascii="Calibri" w:hAnsi="Calibri"/>
                <w:b/>
                <w:color w:val="1F4D78"/>
              </w:rPr>
              <w:t xml:space="preserve">DRAFTING NOTE  </w:t>
            </w:r>
            <w:r>
              <w:rPr>
                <w:rFonts w:ascii="Calibri" w:hAnsi="Calibri"/>
              </w:rPr>
              <w:t>This template is intentionally substantive. Tailor the bracketed fields, confirm the applicability assumptions, cross-check D02–D14, and delete all drafting notes before the management body approves it.</w:t>
            </w:r>
          </w:p>
        </w:tc>
      </w:tr>
    </w:tbl>
    <w:p>
      <w:pPr>
        <w:pStyle w:val="Heading2"/>
        <w:widowControl/>
      </w:pPr>
      <w:r>
        <w:t>Document control</w:t>
      </w:r>
    </w:p>
    <w:tbl>
      <w:tblPr>
        <w:tblStyle w:val="TableGrid"/>
        <w:tblW w:type="auto" w:w="0"/>
        <w:jc w:val="center"/>
        <w:tblLayout w:type="fixed"/>
        <w:tblLook w:firstColumn="1" w:firstRow="1" w:lastColumn="0" w:lastRow="0" w:noHBand="0" w:noVBand="1" w:val="04A0"/>
      </w:tblPr>
      <w:tblGrid>
        <w:gridCol w:w="2880"/>
        <w:gridCol w:w="6998"/>
      </w:tblGrid>
      <w:tr>
        <w:trPr>
          <w:tblHeader w:val="true"/>
        </w:trPr>
        <w:tc>
          <w:tcPr>
            <w:tcW w:type="dxa" w:w="2880"/>
            <w:shd w:fill="17365D"/>
            <w:tcMar>
              <w:top w:w="90" w:type="dxa"/>
              <w:start w:w="120" w:type="dxa"/>
              <w:bottom w:w="90" w:type="dxa"/>
              <w:end w:w="120" w:type="dxa"/>
            </w:tcMar>
            <w:vAlign w:val="center"/>
          </w:tcPr>
          <w:p>
            <w:pPr>
              <w:widowControl/>
              <w:jc w:val="left"/>
            </w:pPr>
            <w:r>
              <w:rPr>
                <w:rFonts w:ascii="Calibri" w:hAnsi="Calibri"/>
                <w:b/>
                <w:color w:val="FFFFFF"/>
                <w:sz w:val="18"/>
              </w:rPr>
              <w:t>Field</w:t>
            </w:r>
          </w:p>
        </w:tc>
        <w:tc>
          <w:tcPr>
            <w:tcW w:type="dxa" w:w="6998"/>
            <w:shd w:fill="17365D"/>
            <w:tcMar>
              <w:top w:w="90" w:type="dxa"/>
              <w:start w:w="120" w:type="dxa"/>
              <w:bottom w:w="90" w:type="dxa"/>
              <w:end w:w="120" w:type="dxa"/>
            </w:tcMar>
            <w:vAlign w:val="center"/>
          </w:tcPr>
          <w:p>
            <w:pPr>
              <w:widowControl/>
              <w:jc w:val="left"/>
            </w:pPr>
            <w:r>
              <w:rPr>
                <w:rFonts w:ascii="Calibri" w:hAnsi="Calibri"/>
                <w:b/>
                <w:color w:val="FFFFFF"/>
                <w:sz w:val="18"/>
              </w:rPr>
              <w:t>Controlled value</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8"/>
              </w:rPr>
              <w:t>Document ID</w:t>
            </w:r>
          </w:p>
        </w:tc>
        <w:tc>
          <w:tcPr>
            <w:tcW w:type="dxa" w:w="6998"/>
            <w:tcMar>
              <w:top w:w="90" w:type="dxa"/>
              <w:start w:w="120" w:type="dxa"/>
              <w:bottom w:w="90" w:type="dxa"/>
              <w:end w:w="120" w:type="dxa"/>
            </w:tcMar>
            <w:vAlign w:val="center"/>
          </w:tcPr>
          <w:p>
            <w:pPr>
              <w:widowControl/>
              <w:spacing w:after="0"/>
            </w:pPr>
            <w:r>
              <w:rPr>
                <w:rFonts w:ascii="Calibri" w:hAnsi="Calibri"/>
                <w:sz w:val="18"/>
              </w:rPr>
              <w:t>D01</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8"/>
              </w:rPr>
              <w:t>Document title</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8"/>
              </w:rPr>
              <w:t>DORA Governance &amp; Simplified ICT Risk Management Framework</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8"/>
              </w:rPr>
              <w:t>Document owner</w:t>
            </w:r>
          </w:p>
        </w:tc>
        <w:tc>
          <w:tcPr>
            <w:tcW w:type="dxa" w:w="6998"/>
            <w:tcMar>
              <w:top w:w="90" w:type="dxa"/>
              <w:start w:w="120" w:type="dxa"/>
              <w:bottom w:w="90" w:type="dxa"/>
              <w:end w:w="120" w:type="dxa"/>
            </w:tcMar>
            <w:vAlign w:val="center"/>
          </w:tcPr>
          <w:p>
            <w:pPr>
              <w:widowControl/>
              <w:spacing w:after="0"/>
            </w:pPr>
            <w:r>
              <w:rPr>
                <w:rFonts w:ascii="Calibri" w:hAnsi="Calibri"/>
                <w:sz w:val="18"/>
              </w:rPr>
              <w:t>[ROLE / FUNCTION]</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8"/>
              </w:rPr>
              <w:t>Policy administrator</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8"/>
              </w:rPr>
              <w:t>[ROLE / FUNCTION]</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8"/>
              </w:rPr>
              <w:t>Approval authority</w:t>
            </w:r>
          </w:p>
        </w:tc>
        <w:tc>
          <w:tcPr>
            <w:tcW w:type="dxa" w:w="6998"/>
            <w:tcMar>
              <w:top w:w="90" w:type="dxa"/>
              <w:start w:w="120" w:type="dxa"/>
              <w:bottom w:w="90" w:type="dxa"/>
              <w:end w:w="120" w:type="dxa"/>
            </w:tcMar>
            <w:vAlign w:val="center"/>
          </w:tcPr>
          <w:p>
            <w:pPr>
              <w:widowControl/>
              <w:spacing w:after="0"/>
            </w:pPr>
            <w:r>
              <w:rPr>
                <w:rFonts w:ascii="Calibri" w:hAnsi="Calibri"/>
                <w:sz w:val="18"/>
              </w:rPr>
              <w:t>Management body / Board of Directors</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8"/>
              </w:rPr>
              <w:t>Version</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8"/>
              </w:rPr>
              <w:t>[1.0]</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8"/>
              </w:rPr>
              <w:t>Effective date</w:t>
            </w:r>
          </w:p>
        </w:tc>
        <w:tc>
          <w:tcPr>
            <w:tcW w:type="dxa" w:w="6998"/>
            <w:tcMar>
              <w:top w:w="90" w:type="dxa"/>
              <w:start w:w="120" w:type="dxa"/>
              <w:bottom w:w="90" w:type="dxa"/>
              <w:end w:w="120" w:type="dxa"/>
            </w:tcMar>
            <w:vAlign w:val="center"/>
          </w:tcPr>
          <w:p>
            <w:pPr>
              <w:widowControl/>
              <w:spacing w:after="0"/>
            </w:pPr>
            <w:r>
              <w:rPr>
                <w:rFonts w:ascii="Calibri" w:hAnsi="Calibri"/>
                <w:sz w:val="18"/>
              </w:rPr>
              <w:t>[DD MONTH YYYY]</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8"/>
              </w:rPr>
              <w:t>Review cycle</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8"/>
              </w:rPr>
              <w:t>[AT LEAST ANNUALLY / OTHER PERIODIC CYCLE, AND ON TRIGGER EVENTS]</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8"/>
              </w:rPr>
              <w:t>Next scheduled review</w:t>
            </w:r>
          </w:p>
        </w:tc>
        <w:tc>
          <w:tcPr>
            <w:tcW w:type="dxa" w:w="6998"/>
            <w:tcMar>
              <w:top w:w="90" w:type="dxa"/>
              <w:start w:w="120" w:type="dxa"/>
              <w:bottom w:w="90" w:type="dxa"/>
              <w:end w:w="120" w:type="dxa"/>
            </w:tcMar>
            <w:vAlign w:val="center"/>
          </w:tcPr>
          <w:p>
            <w:pPr>
              <w:widowControl/>
              <w:spacing w:after="0"/>
            </w:pPr>
            <w:r>
              <w:rPr>
                <w:rFonts w:ascii="Calibri" w:hAnsi="Calibri"/>
                <w:sz w:val="18"/>
              </w:rPr>
              <w:t>[DD MONTH YYYY]</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8"/>
              </w:rPr>
              <w:t>Classification</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8"/>
              </w:rPr>
              <w:t>Confidential — Internal</w:t>
            </w:r>
          </w:p>
        </w:tc>
      </w:tr>
    </w:tbl>
    <w:p>
      <w:pPr>
        <w:widowControl/>
        <w:spacing w:after="0"/>
      </w:pPr>
    </w:p>
    <w:p>
      <w:pPr>
        <w:pStyle w:val="Heading2"/>
        <w:widowControl/>
      </w:pPr>
      <w:r>
        <w:t>Approval record</w:t>
      </w:r>
    </w:p>
    <w:tbl>
      <w:tblPr>
        <w:tblStyle w:val="TableGrid"/>
        <w:tblW w:type="auto" w:w="0"/>
        <w:jc w:val="center"/>
        <w:tblLayout w:type="fixed"/>
        <w:tblLook w:firstColumn="1" w:firstRow="1" w:lastColumn="0" w:lastRow="0" w:noHBand="0" w:noVBand="1" w:val="04A0"/>
      </w:tblPr>
      <w:tblGrid>
        <w:gridCol w:w="2880"/>
        <w:gridCol w:w="2520"/>
        <w:gridCol w:w="2880"/>
        <w:gridCol w:w="1598"/>
      </w:tblGrid>
      <w:tr>
        <w:trPr>
          <w:tblHeader w:val="true"/>
        </w:trPr>
        <w:tc>
          <w:tcPr>
            <w:tcW w:type="dxa" w:w="2880"/>
            <w:shd w:fill="17365D"/>
            <w:tcMar>
              <w:top w:w="90" w:type="dxa"/>
              <w:start w:w="120" w:type="dxa"/>
              <w:bottom w:w="90" w:type="dxa"/>
              <w:end w:w="120" w:type="dxa"/>
            </w:tcMar>
            <w:vAlign w:val="center"/>
          </w:tcPr>
          <w:p>
            <w:pPr>
              <w:widowControl/>
              <w:jc w:val="left"/>
            </w:pPr>
            <w:r>
              <w:rPr>
                <w:rFonts w:ascii="Calibri" w:hAnsi="Calibri"/>
                <w:b/>
                <w:color w:val="FFFFFF"/>
                <w:sz w:val="18"/>
              </w:rPr>
              <w:t>Approver</w:t>
            </w:r>
          </w:p>
        </w:tc>
        <w:tc>
          <w:tcPr>
            <w:tcW w:type="dxa" w:w="2520"/>
            <w:shd w:fill="17365D"/>
            <w:tcMar>
              <w:top w:w="90" w:type="dxa"/>
              <w:start w:w="120" w:type="dxa"/>
              <w:bottom w:w="90" w:type="dxa"/>
              <w:end w:w="120" w:type="dxa"/>
            </w:tcMar>
            <w:vAlign w:val="center"/>
          </w:tcPr>
          <w:p>
            <w:pPr>
              <w:widowControl/>
              <w:jc w:val="left"/>
            </w:pPr>
            <w:r>
              <w:rPr>
                <w:rFonts w:ascii="Calibri" w:hAnsi="Calibri"/>
                <w:b/>
                <w:color w:val="FFFFFF"/>
                <w:sz w:val="18"/>
              </w:rPr>
              <w:t>Capacity</w:t>
            </w:r>
          </w:p>
        </w:tc>
        <w:tc>
          <w:tcPr>
            <w:tcW w:type="dxa" w:w="2880"/>
            <w:shd w:fill="17365D"/>
            <w:tcMar>
              <w:top w:w="90" w:type="dxa"/>
              <w:start w:w="120" w:type="dxa"/>
              <w:bottom w:w="90" w:type="dxa"/>
              <w:end w:w="120" w:type="dxa"/>
            </w:tcMar>
            <w:vAlign w:val="center"/>
          </w:tcPr>
          <w:p>
            <w:pPr>
              <w:widowControl/>
              <w:jc w:val="left"/>
            </w:pPr>
            <w:r>
              <w:rPr>
                <w:rFonts w:ascii="Calibri" w:hAnsi="Calibri"/>
                <w:b/>
                <w:color w:val="FFFFFF"/>
                <w:sz w:val="18"/>
              </w:rPr>
              <w:t>Decision</w:t>
            </w:r>
          </w:p>
        </w:tc>
        <w:tc>
          <w:tcPr>
            <w:tcW w:type="dxa" w:w="1598"/>
            <w:shd w:fill="17365D"/>
            <w:tcMar>
              <w:top w:w="90" w:type="dxa"/>
              <w:start w:w="120" w:type="dxa"/>
              <w:bottom w:w="90" w:type="dxa"/>
              <w:end w:w="120" w:type="dxa"/>
            </w:tcMar>
            <w:vAlign w:val="center"/>
          </w:tcPr>
          <w:p>
            <w:pPr>
              <w:widowControl/>
              <w:jc w:val="left"/>
            </w:pPr>
            <w:r>
              <w:rPr>
                <w:rFonts w:ascii="Calibri" w:hAnsi="Calibri"/>
                <w:b/>
                <w:color w:val="FFFFFF"/>
                <w:sz w:val="18"/>
              </w:rPr>
              <w:t>Date</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sz w:val="18"/>
              </w:rPr>
              <w:t>[NAME]</w:t>
            </w:r>
          </w:p>
        </w:tc>
        <w:tc>
          <w:tcPr>
            <w:tcW w:type="dxa" w:w="2520"/>
            <w:tcMar>
              <w:top w:w="90" w:type="dxa"/>
              <w:start w:w="120" w:type="dxa"/>
              <w:bottom w:w="90" w:type="dxa"/>
              <w:end w:w="120" w:type="dxa"/>
            </w:tcMar>
            <w:vAlign w:val="center"/>
          </w:tcPr>
          <w:p>
            <w:pPr>
              <w:widowControl/>
              <w:spacing w:after="0"/>
            </w:pPr>
            <w:r>
              <w:rPr>
                <w:rFonts w:ascii="Calibri" w:hAnsi="Calibri"/>
                <w:sz w:val="18"/>
              </w:rPr>
              <w:t>Chair / director</w:t>
            </w:r>
          </w:p>
        </w:tc>
        <w:tc>
          <w:tcPr>
            <w:tcW w:type="dxa" w:w="2880"/>
            <w:tcMar>
              <w:top w:w="90" w:type="dxa"/>
              <w:start w:w="120" w:type="dxa"/>
              <w:bottom w:w="90" w:type="dxa"/>
              <w:end w:w="120" w:type="dxa"/>
            </w:tcMar>
            <w:vAlign w:val="center"/>
          </w:tcPr>
          <w:p>
            <w:pPr>
              <w:widowControl/>
              <w:spacing w:after="0"/>
            </w:pPr>
            <w:r>
              <w:rPr>
                <w:rFonts w:ascii="Calibri" w:hAnsi="Calibri"/>
                <w:sz w:val="18"/>
              </w:rPr>
              <w:t>Approved / approved subject to changes</w:t>
            </w:r>
          </w:p>
        </w:tc>
        <w:tc>
          <w:tcPr>
            <w:tcW w:type="dxa" w:w="1598"/>
            <w:tcMar>
              <w:top w:w="90" w:type="dxa"/>
              <w:start w:w="120" w:type="dxa"/>
              <w:bottom w:w="90" w:type="dxa"/>
              <w:end w:w="120" w:type="dxa"/>
            </w:tcMar>
            <w:vAlign w:val="center"/>
          </w:tcPr>
          <w:p>
            <w:pPr>
              <w:widowControl/>
              <w:spacing w:after="0"/>
            </w:pPr>
            <w:r>
              <w:rPr>
                <w:rFonts w:ascii="Calibri" w:hAnsi="Calibri"/>
                <w:sz w:val="18"/>
              </w:rPr>
              <w:t>[DATE]</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sz w:val="18"/>
              </w:rPr>
              <w:t>[NAME]</w:t>
            </w:r>
          </w:p>
        </w:tc>
        <w:tc>
          <w:tcPr>
            <w:tcW w:type="dxa" w:w="2520"/>
            <w:tcMar>
              <w:top w:w="90" w:type="dxa"/>
              <w:start w:w="120" w:type="dxa"/>
              <w:bottom w:w="90" w:type="dxa"/>
              <w:end w:w="120" w:type="dxa"/>
            </w:tcMar>
            <w:vAlign w:val="center"/>
            <w:shd w:fill="F8FAFC"/>
          </w:tcPr>
          <w:p>
            <w:pPr>
              <w:widowControl/>
              <w:spacing w:after="0"/>
            </w:pPr>
            <w:r>
              <w:rPr>
                <w:rFonts w:ascii="Calibri" w:hAnsi="Calibri"/>
                <w:sz w:val="18"/>
              </w:rPr>
              <w:t>Director</w:t>
            </w:r>
          </w:p>
        </w:tc>
        <w:tc>
          <w:tcPr>
            <w:tcW w:type="dxa" w:w="2880"/>
            <w:tcMar>
              <w:top w:w="90" w:type="dxa"/>
              <w:start w:w="120" w:type="dxa"/>
              <w:bottom w:w="90" w:type="dxa"/>
              <w:end w:w="120" w:type="dxa"/>
            </w:tcMar>
            <w:vAlign w:val="center"/>
            <w:shd w:fill="F8FAFC"/>
          </w:tcPr>
          <w:p>
            <w:pPr>
              <w:widowControl/>
              <w:spacing w:after="0"/>
            </w:pPr>
            <w:r>
              <w:rPr>
                <w:rFonts w:ascii="Calibri" w:hAnsi="Calibri"/>
                <w:sz w:val="18"/>
              </w:rPr>
              <w:t>Approved / approved subject to changes</w:t>
            </w:r>
          </w:p>
        </w:tc>
        <w:tc>
          <w:tcPr>
            <w:tcW w:type="dxa" w:w="1598"/>
            <w:tcMar>
              <w:top w:w="90" w:type="dxa"/>
              <w:start w:w="120" w:type="dxa"/>
              <w:bottom w:w="90" w:type="dxa"/>
              <w:end w:w="120" w:type="dxa"/>
            </w:tcMar>
            <w:vAlign w:val="center"/>
            <w:shd w:fill="F8FAFC"/>
          </w:tcPr>
          <w:p>
            <w:pPr>
              <w:widowControl/>
              <w:spacing w:after="0"/>
            </w:pPr>
            <w:r>
              <w:rPr>
                <w:rFonts w:ascii="Calibri" w:hAnsi="Calibri"/>
                <w:sz w:val="18"/>
              </w:rPr>
              <w:t>[DATE]</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sz w:val="18"/>
              </w:rPr>
              <w:t>[NAME]</w:t>
            </w:r>
          </w:p>
        </w:tc>
        <w:tc>
          <w:tcPr>
            <w:tcW w:type="dxa" w:w="2520"/>
            <w:tcMar>
              <w:top w:w="90" w:type="dxa"/>
              <w:start w:w="120" w:type="dxa"/>
              <w:bottom w:w="90" w:type="dxa"/>
              <w:end w:w="120" w:type="dxa"/>
            </w:tcMar>
            <w:vAlign w:val="center"/>
          </w:tcPr>
          <w:p>
            <w:pPr>
              <w:widowControl/>
              <w:spacing w:after="0"/>
            </w:pPr>
            <w:r>
              <w:rPr>
                <w:rFonts w:ascii="Calibri" w:hAnsi="Calibri"/>
                <w:sz w:val="18"/>
              </w:rPr>
              <w:t>Director</w:t>
            </w:r>
          </w:p>
        </w:tc>
        <w:tc>
          <w:tcPr>
            <w:tcW w:type="dxa" w:w="2880"/>
            <w:tcMar>
              <w:top w:w="90" w:type="dxa"/>
              <w:start w:w="120" w:type="dxa"/>
              <w:bottom w:w="90" w:type="dxa"/>
              <w:end w:w="120" w:type="dxa"/>
            </w:tcMar>
            <w:vAlign w:val="center"/>
          </w:tcPr>
          <w:p>
            <w:pPr>
              <w:widowControl/>
              <w:spacing w:after="0"/>
            </w:pPr>
            <w:r>
              <w:rPr>
                <w:rFonts w:ascii="Calibri" w:hAnsi="Calibri"/>
                <w:sz w:val="18"/>
              </w:rPr>
              <w:t>Approved / approved subject to changes</w:t>
            </w:r>
          </w:p>
        </w:tc>
        <w:tc>
          <w:tcPr>
            <w:tcW w:type="dxa" w:w="1598"/>
            <w:tcMar>
              <w:top w:w="90" w:type="dxa"/>
              <w:start w:w="120" w:type="dxa"/>
              <w:bottom w:w="90" w:type="dxa"/>
              <w:end w:w="120" w:type="dxa"/>
            </w:tcMar>
            <w:vAlign w:val="center"/>
          </w:tcPr>
          <w:p>
            <w:pPr>
              <w:widowControl/>
              <w:spacing w:after="0"/>
            </w:pPr>
            <w:r>
              <w:rPr>
                <w:rFonts w:ascii="Calibri" w:hAnsi="Calibri"/>
                <w:sz w:val="18"/>
              </w:rPr>
              <w:t>[DATE]</w:t>
            </w:r>
          </w:p>
        </w:tc>
      </w:tr>
    </w:tbl>
    <w:p>
      <w:pPr>
        <w:widowControl/>
        <w:spacing w:after="0"/>
      </w:pPr>
    </w:p>
    <w:p>
      <w:pPr>
        <w:pStyle w:val="Heading2"/>
        <w:widowControl/>
      </w:pPr>
      <w:r>
        <w:t>Version history</w:t>
      </w:r>
    </w:p>
    <w:tbl>
      <w:tblPr>
        <w:tblStyle w:val="TableGrid"/>
        <w:tblW w:type="auto" w:w="0"/>
        <w:jc w:val="center"/>
        <w:tblLayout w:type="fixed"/>
        <w:tblLook w:firstColumn="1" w:firstRow="1" w:lastColumn="0" w:lastRow="0" w:noHBand="0" w:noVBand="1" w:val="04A0"/>
      </w:tblPr>
      <w:tblGrid>
        <w:gridCol w:w="1080"/>
        <w:gridCol w:w="1512"/>
        <w:gridCol w:w="5400"/>
        <w:gridCol w:w="1886"/>
      </w:tblGrid>
      <w:tr>
        <w:trPr>
          <w:tblHeader w:val="true"/>
        </w:trPr>
        <w:tc>
          <w:tcPr>
            <w:tcW w:type="dxa" w:w="1080"/>
            <w:shd w:fill="17365D"/>
            <w:tcMar>
              <w:top w:w="90" w:type="dxa"/>
              <w:start w:w="120" w:type="dxa"/>
              <w:bottom w:w="90" w:type="dxa"/>
              <w:end w:w="120" w:type="dxa"/>
            </w:tcMar>
            <w:vAlign w:val="center"/>
          </w:tcPr>
          <w:p>
            <w:pPr>
              <w:widowControl/>
              <w:jc w:val="left"/>
            </w:pPr>
            <w:r>
              <w:rPr>
                <w:rFonts w:ascii="Calibri" w:hAnsi="Calibri"/>
                <w:b/>
                <w:color w:val="FFFFFF"/>
                <w:sz w:val="18"/>
              </w:rPr>
              <w:t>Version</w:t>
            </w:r>
          </w:p>
        </w:tc>
        <w:tc>
          <w:tcPr>
            <w:tcW w:type="dxa" w:w="1512"/>
            <w:shd w:fill="17365D"/>
            <w:tcMar>
              <w:top w:w="90" w:type="dxa"/>
              <w:start w:w="120" w:type="dxa"/>
              <w:bottom w:w="90" w:type="dxa"/>
              <w:end w:w="120" w:type="dxa"/>
            </w:tcMar>
            <w:vAlign w:val="center"/>
          </w:tcPr>
          <w:p>
            <w:pPr>
              <w:widowControl/>
              <w:jc w:val="left"/>
            </w:pPr>
            <w:r>
              <w:rPr>
                <w:rFonts w:ascii="Calibri" w:hAnsi="Calibri"/>
                <w:b/>
                <w:color w:val="FFFFFF"/>
                <w:sz w:val="18"/>
              </w:rPr>
              <w:t>Date</w:t>
            </w:r>
          </w:p>
        </w:tc>
        <w:tc>
          <w:tcPr>
            <w:tcW w:type="dxa" w:w="5400"/>
            <w:shd w:fill="17365D"/>
            <w:tcMar>
              <w:top w:w="90" w:type="dxa"/>
              <w:start w:w="120" w:type="dxa"/>
              <w:bottom w:w="90" w:type="dxa"/>
              <w:end w:w="120" w:type="dxa"/>
            </w:tcMar>
            <w:vAlign w:val="center"/>
          </w:tcPr>
          <w:p>
            <w:pPr>
              <w:widowControl/>
              <w:jc w:val="left"/>
            </w:pPr>
            <w:r>
              <w:rPr>
                <w:rFonts w:ascii="Calibri" w:hAnsi="Calibri"/>
                <w:b/>
                <w:color w:val="FFFFFF"/>
                <w:sz w:val="18"/>
              </w:rPr>
              <w:t>Summary of changes</w:t>
            </w:r>
          </w:p>
        </w:tc>
        <w:tc>
          <w:tcPr>
            <w:tcW w:type="dxa" w:w="1886"/>
            <w:shd w:fill="17365D"/>
            <w:tcMar>
              <w:top w:w="90" w:type="dxa"/>
              <w:start w:w="120" w:type="dxa"/>
              <w:bottom w:w="90" w:type="dxa"/>
              <w:end w:w="120" w:type="dxa"/>
            </w:tcMar>
            <w:vAlign w:val="center"/>
          </w:tcPr>
          <w:p>
            <w:pPr>
              <w:widowControl/>
              <w:jc w:val="left"/>
            </w:pPr>
            <w:r>
              <w:rPr>
                <w:rFonts w:ascii="Calibri" w:hAnsi="Calibri"/>
                <w:b/>
                <w:color w:val="FFFFFF"/>
                <w:sz w:val="18"/>
              </w:rPr>
              <w:t>Author / owner</w:t>
            </w:r>
          </w:p>
        </w:tc>
      </w:tr>
      <w:tr>
        <w:trPr>
          <w:cantSplit/>
        </w:trPr>
        <w:tc>
          <w:tcPr>
            <w:tcW w:type="dxa" w:w="1080"/>
            <w:tcMar>
              <w:top w:w="90" w:type="dxa"/>
              <w:start w:w="120" w:type="dxa"/>
              <w:bottom w:w="90" w:type="dxa"/>
              <w:end w:w="120" w:type="dxa"/>
            </w:tcMar>
            <w:vAlign w:val="center"/>
          </w:tcPr>
          <w:p>
            <w:pPr>
              <w:widowControl/>
              <w:spacing w:after="0"/>
            </w:pPr>
            <w:r>
              <w:rPr>
                <w:rFonts w:ascii="Calibri" w:hAnsi="Calibri"/>
                <w:sz w:val="18"/>
              </w:rPr>
              <w:t>0.1</w:t>
            </w:r>
          </w:p>
        </w:tc>
        <w:tc>
          <w:tcPr>
            <w:tcW w:type="dxa" w:w="1512"/>
            <w:tcMar>
              <w:top w:w="90" w:type="dxa"/>
              <w:start w:w="120" w:type="dxa"/>
              <w:bottom w:w="90" w:type="dxa"/>
              <w:end w:w="120" w:type="dxa"/>
            </w:tcMar>
            <w:vAlign w:val="center"/>
          </w:tcPr>
          <w:p>
            <w:pPr>
              <w:widowControl/>
              <w:spacing w:after="0"/>
            </w:pPr>
            <w:r>
              <w:rPr>
                <w:rFonts w:ascii="Calibri" w:hAnsi="Calibri"/>
                <w:sz w:val="18"/>
              </w:rPr>
              <w:t>[DATE]</w:t>
            </w:r>
          </w:p>
        </w:tc>
        <w:tc>
          <w:tcPr>
            <w:tcW w:type="dxa" w:w="5400"/>
            <w:tcMar>
              <w:top w:w="90" w:type="dxa"/>
              <w:start w:w="120" w:type="dxa"/>
              <w:bottom w:w="90" w:type="dxa"/>
              <w:end w:w="120" w:type="dxa"/>
            </w:tcMar>
            <w:vAlign w:val="center"/>
          </w:tcPr>
          <w:p>
            <w:pPr>
              <w:widowControl/>
              <w:spacing w:after="0"/>
            </w:pPr>
            <w:r>
              <w:rPr>
                <w:rFonts w:ascii="Calibri" w:hAnsi="Calibri"/>
                <w:sz w:val="18"/>
              </w:rPr>
              <w:t>Initial draft</w:t>
            </w:r>
          </w:p>
        </w:tc>
        <w:tc>
          <w:tcPr>
            <w:tcW w:type="dxa" w:w="1886"/>
            <w:tcMar>
              <w:top w:w="90" w:type="dxa"/>
              <w:start w:w="120" w:type="dxa"/>
              <w:bottom w:w="90" w:type="dxa"/>
              <w:end w:w="120" w:type="dxa"/>
            </w:tcMar>
            <w:vAlign w:val="center"/>
          </w:tcPr>
          <w:p>
            <w:pPr>
              <w:widowControl/>
              <w:spacing w:after="0"/>
            </w:pPr>
            <w:r>
              <w:rPr>
                <w:rFonts w:ascii="Calibri" w:hAnsi="Calibri"/>
                <w:sz w:val="18"/>
              </w:rPr>
              <w:t>[NAME / ROLE]</w:t>
            </w:r>
          </w:p>
        </w:tc>
      </w:tr>
      <w:tr>
        <w:trPr>
          <w:cantSplit/>
        </w:trPr>
        <w:tc>
          <w:tcPr>
            <w:tcW w:type="dxa" w:w="1080"/>
            <w:tcMar>
              <w:top w:w="90" w:type="dxa"/>
              <w:start w:w="120" w:type="dxa"/>
              <w:bottom w:w="90" w:type="dxa"/>
              <w:end w:w="120" w:type="dxa"/>
            </w:tcMar>
            <w:vAlign w:val="center"/>
            <w:shd w:fill="F8FAFC"/>
          </w:tcPr>
          <w:p>
            <w:pPr>
              <w:widowControl/>
              <w:spacing w:after="0"/>
            </w:pPr>
            <w:r>
              <w:rPr>
                <w:rFonts w:ascii="Calibri" w:hAnsi="Calibri"/>
                <w:sz w:val="18"/>
              </w:rPr>
              <w:t>1.0</w:t>
            </w:r>
          </w:p>
        </w:tc>
        <w:tc>
          <w:tcPr>
            <w:tcW w:type="dxa" w:w="1512"/>
            <w:tcMar>
              <w:top w:w="90" w:type="dxa"/>
              <w:start w:w="120" w:type="dxa"/>
              <w:bottom w:w="90" w:type="dxa"/>
              <w:end w:w="120" w:type="dxa"/>
            </w:tcMar>
            <w:vAlign w:val="center"/>
            <w:shd w:fill="F8FAFC"/>
          </w:tcPr>
          <w:p>
            <w:pPr>
              <w:widowControl/>
              <w:spacing w:after="0"/>
            </w:pPr>
            <w:r>
              <w:rPr>
                <w:rFonts w:ascii="Calibri" w:hAnsi="Calibri"/>
                <w:sz w:val="18"/>
              </w:rPr>
              <w:t>[DATE]</w:t>
            </w:r>
          </w:p>
        </w:tc>
        <w:tc>
          <w:tcPr>
            <w:tcW w:type="dxa" w:w="5400"/>
            <w:tcMar>
              <w:top w:w="90" w:type="dxa"/>
              <w:start w:w="120" w:type="dxa"/>
              <w:bottom w:w="90" w:type="dxa"/>
              <w:end w:w="120" w:type="dxa"/>
            </w:tcMar>
            <w:vAlign w:val="center"/>
            <w:shd w:fill="F8FAFC"/>
          </w:tcPr>
          <w:p>
            <w:pPr>
              <w:widowControl/>
              <w:spacing w:after="0"/>
            </w:pPr>
            <w:r>
              <w:rPr>
                <w:rFonts w:ascii="Calibri" w:hAnsi="Calibri"/>
                <w:sz w:val="18"/>
              </w:rPr>
              <w:t>First management-body approved version</w:t>
            </w:r>
          </w:p>
        </w:tc>
        <w:tc>
          <w:tcPr>
            <w:tcW w:type="dxa" w:w="1886"/>
            <w:tcMar>
              <w:top w:w="90" w:type="dxa"/>
              <w:start w:w="120" w:type="dxa"/>
              <w:bottom w:w="90" w:type="dxa"/>
              <w:end w:w="120" w:type="dxa"/>
            </w:tcMar>
            <w:vAlign w:val="center"/>
            <w:shd w:fill="F8FAFC"/>
          </w:tcPr>
          <w:p>
            <w:pPr>
              <w:widowControl/>
              <w:spacing w:after="0"/>
            </w:pPr>
            <w:r>
              <w:rPr>
                <w:rFonts w:ascii="Calibri" w:hAnsi="Calibri"/>
                <w:sz w:val="18"/>
              </w:rPr>
              <w:t>[NAME / ROLE]</w:t>
            </w:r>
          </w:p>
        </w:tc>
      </w:tr>
    </w:tbl>
    <w:p>
      <w:pPr>
        <w:widowControl/>
        <w:spacing w:after="0"/>
      </w:pPr>
    </w:p>
    <w:p>
      <w:pPr>
        <w:pStyle w:val="Heading2"/>
        <w:widowControl/>
      </w:pPr>
      <w:r>
        <w:t>Management-body resolution</w:t>
      </w:r>
    </w:p>
    <w:p>
      <w:pPr>
        <w:widowControl/>
      </w:pPr>
      <w:r>
        <w:t>The management body, having reviewed this Framework and the materials presented to it, resolves that:</w:t>
      </w:r>
    </w:p>
    <w:p>
      <w:pPr>
        <w:pStyle w:val="ListBullet"/>
        <w:widowControl/>
        <w:ind w:left="475"/>
      </w:pPr>
      <w:r>
        <w:t>the firm adopts this Framework as its documented simplified ICT risk management framework;</w:t>
      </w:r>
    </w:p>
    <w:p>
      <w:pPr>
        <w:pStyle w:val="ListBullet"/>
        <w:widowControl/>
        <w:ind w:left="475"/>
      </w:pPr>
      <w:r>
        <w:t>the firm’s classification and proportionality assumptions in section 3 are approved, subject to ongoing monitoring;</w:t>
      </w:r>
    </w:p>
    <w:p>
      <w:pPr>
        <w:pStyle w:val="ListBullet"/>
        <w:widowControl/>
        <w:ind w:left="475"/>
      </w:pPr>
      <w:r>
        <w:t>the ICT risk tolerance statement in section 6 is approved;</w:t>
      </w:r>
    </w:p>
    <w:p>
      <w:pPr>
        <w:pStyle w:val="ListBullet"/>
        <w:widowControl/>
        <w:ind w:left="475"/>
      </w:pPr>
      <w:r>
        <w:t>the roles, reporting arrangements, resources and review cycle set out in this Framework are approved;</w:t>
      </w:r>
    </w:p>
    <w:p>
      <w:pPr>
        <w:pStyle w:val="ListBullet"/>
        <w:widowControl/>
        <w:ind w:left="475"/>
      </w:pPr>
      <w:r>
        <w:t>management is authorised and directed to implement and maintain D02–D14 and the measures referenced in this Framework; and</w:t>
      </w:r>
    </w:p>
    <w:p>
      <w:pPr>
        <w:pStyle w:val="ListBullet"/>
        <w:widowControl/>
        <w:ind w:left="475"/>
      </w:pPr>
      <w:r>
        <w:t>material deviations, intolerable residual ICT risks and matters reserved to the management body must be escalated in accordance with this Framework.</w:t>
      </w:r>
    </w:p>
    <w:p>
      <w:pPr>
        <w:pStyle w:val="Heading1"/>
        <w:widowControl/>
      </w:pPr>
      <w:r>
        <w:t>Contents and use of the template</w:t>
      </w:r>
    </w:p>
    <w:tbl>
      <w:tblPr>
        <w:tblStyle w:val="TableGrid"/>
        <w:tblW w:type="auto" w:w="0"/>
        <w:jc w:val="center"/>
        <w:tblLayout w:type="fixed"/>
        <w:tblLook w:firstColumn="1" w:firstRow="1" w:lastColumn="0" w:lastRow="0" w:noHBand="0" w:noVBand="1" w:val="04A0"/>
      </w:tblPr>
      <w:tblGrid>
        <w:gridCol w:w="1584"/>
        <w:gridCol w:w="8294"/>
      </w:tblGrid>
      <w:tr>
        <w:trPr>
          <w:tblHeader w:val="true"/>
        </w:trPr>
        <w:tc>
          <w:tcPr>
            <w:tcW w:type="dxa" w:w="1584"/>
            <w:shd w:fill="17365D"/>
            <w:tcMar>
              <w:top w:w="90" w:type="dxa"/>
              <w:start w:w="120" w:type="dxa"/>
              <w:bottom w:w="90" w:type="dxa"/>
              <w:end w:w="120" w:type="dxa"/>
            </w:tcMar>
            <w:vAlign w:val="center"/>
          </w:tcPr>
          <w:p>
            <w:pPr>
              <w:widowControl/>
              <w:jc w:val="left"/>
            </w:pPr>
            <w:r>
              <w:rPr>
                <w:rFonts w:ascii="Calibri" w:hAnsi="Calibri"/>
                <w:b/>
                <w:color w:val="FFFFFF"/>
                <w:sz w:val="18"/>
              </w:rPr>
              <w:t>Section</w:t>
            </w:r>
          </w:p>
        </w:tc>
        <w:tc>
          <w:tcPr>
            <w:tcW w:type="dxa" w:w="8294"/>
            <w:shd w:fill="17365D"/>
            <w:tcMar>
              <w:top w:w="90" w:type="dxa"/>
              <w:start w:w="120" w:type="dxa"/>
              <w:bottom w:w="90" w:type="dxa"/>
              <w:end w:w="120" w:type="dxa"/>
            </w:tcMar>
            <w:vAlign w:val="center"/>
          </w:tcPr>
          <w:p>
            <w:pPr>
              <w:widowControl/>
              <w:jc w:val="left"/>
            </w:pPr>
            <w:r>
              <w:rPr>
                <w:rFonts w:ascii="Calibri" w:hAnsi="Calibri"/>
                <w:b/>
                <w:color w:val="FFFFFF"/>
                <w:sz w:val="18"/>
              </w:rPr>
              <w:t>Subject</w:t>
            </w:r>
          </w:p>
        </w:tc>
      </w:tr>
      <w:tr>
        <w:trPr>
          <w:cantSplit/>
        </w:trPr>
        <w:tc>
          <w:tcPr>
            <w:tcW w:type="dxa" w:w="1584"/>
            <w:tcMar>
              <w:top w:w="90" w:type="dxa"/>
              <w:start w:w="120" w:type="dxa"/>
              <w:bottom w:w="90" w:type="dxa"/>
              <w:end w:w="120" w:type="dxa"/>
            </w:tcMar>
            <w:vAlign w:val="center"/>
          </w:tcPr>
          <w:p>
            <w:pPr>
              <w:widowControl/>
              <w:spacing w:after="0"/>
            </w:pPr>
            <w:r>
              <w:rPr>
                <w:rFonts w:ascii="Calibri" w:hAnsi="Calibri"/>
                <w:b/>
                <w:color w:val="1F4D78"/>
                <w:sz w:val="18"/>
              </w:rPr>
              <w:t>1</w:t>
            </w:r>
          </w:p>
        </w:tc>
        <w:tc>
          <w:tcPr>
            <w:tcW w:type="dxa" w:w="8294"/>
            <w:tcMar>
              <w:top w:w="90" w:type="dxa"/>
              <w:start w:w="120" w:type="dxa"/>
              <w:bottom w:w="90" w:type="dxa"/>
              <w:end w:w="120" w:type="dxa"/>
            </w:tcMar>
            <w:vAlign w:val="center"/>
          </w:tcPr>
          <w:p>
            <w:pPr>
              <w:widowControl/>
              <w:spacing w:after="0"/>
            </w:pPr>
            <w:r>
              <w:rPr>
                <w:rFonts w:ascii="Calibri" w:hAnsi="Calibri"/>
                <w:sz w:val="18"/>
              </w:rPr>
              <w:t>Purpose and status</w:t>
            </w:r>
          </w:p>
        </w:tc>
      </w:tr>
      <w:tr>
        <w:trPr>
          <w:cantSplit/>
        </w:trPr>
        <w:tc>
          <w:tcPr>
            <w:tcW w:type="dxa" w:w="1584"/>
            <w:tcMar>
              <w:top w:w="90" w:type="dxa"/>
              <w:start w:w="120" w:type="dxa"/>
              <w:bottom w:w="90" w:type="dxa"/>
              <w:end w:w="120" w:type="dxa"/>
            </w:tcMar>
            <w:vAlign w:val="center"/>
            <w:shd w:fill="F8FAFC"/>
          </w:tcPr>
          <w:p>
            <w:pPr>
              <w:widowControl/>
              <w:spacing w:after="0"/>
            </w:pPr>
            <w:r>
              <w:rPr>
                <w:rFonts w:ascii="Calibri" w:hAnsi="Calibri"/>
                <w:b/>
                <w:color w:val="1F4D78"/>
                <w:sz w:val="18"/>
              </w:rPr>
              <w:t>2</w:t>
            </w:r>
          </w:p>
        </w:tc>
        <w:tc>
          <w:tcPr>
            <w:tcW w:type="dxa" w:w="8294"/>
            <w:tcMar>
              <w:top w:w="90" w:type="dxa"/>
              <w:start w:w="120" w:type="dxa"/>
              <w:bottom w:w="90" w:type="dxa"/>
              <w:end w:w="120" w:type="dxa"/>
            </w:tcMar>
            <w:vAlign w:val="center"/>
            <w:shd w:fill="F8FAFC"/>
          </w:tcPr>
          <w:p>
            <w:pPr>
              <w:widowControl/>
              <w:spacing w:after="0"/>
            </w:pPr>
            <w:r>
              <w:rPr>
                <w:rFonts w:ascii="Calibri" w:hAnsi="Calibri"/>
                <w:sz w:val="18"/>
              </w:rPr>
              <w:t>Legal and regulatory basis</w:t>
            </w:r>
          </w:p>
        </w:tc>
      </w:tr>
      <w:tr>
        <w:trPr>
          <w:cantSplit/>
        </w:trPr>
        <w:tc>
          <w:tcPr>
            <w:tcW w:type="dxa" w:w="1584"/>
            <w:tcMar>
              <w:top w:w="90" w:type="dxa"/>
              <w:start w:w="120" w:type="dxa"/>
              <w:bottom w:w="90" w:type="dxa"/>
              <w:end w:w="120" w:type="dxa"/>
            </w:tcMar>
            <w:vAlign w:val="center"/>
          </w:tcPr>
          <w:p>
            <w:pPr>
              <w:widowControl/>
              <w:spacing w:after="0"/>
            </w:pPr>
            <w:r>
              <w:rPr>
                <w:rFonts w:ascii="Calibri" w:hAnsi="Calibri"/>
                <w:b/>
                <w:color w:val="1F4D78"/>
                <w:sz w:val="18"/>
              </w:rPr>
              <w:t>3</w:t>
            </w:r>
          </w:p>
        </w:tc>
        <w:tc>
          <w:tcPr>
            <w:tcW w:type="dxa" w:w="8294"/>
            <w:tcMar>
              <w:top w:w="90" w:type="dxa"/>
              <w:start w:w="120" w:type="dxa"/>
              <w:bottom w:w="90" w:type="dxa"/>
              <w:end w:w="120" w:type="dxa"/>
            </w:tcMar>
            <w:vAlign w:val="center"/>
          </w:tcPr>
          <w:p>
            <w:pPr>
              <w:widowControl/>
              <w:spacing w:after="0"/>
            </w:pPr>
            <w:r>
              <w:rPr>
                <w:rFonts w:ascii="Calibri" w:hAnsi="Calibri"/>
                <w:sz w:val="18"/>
              </w:rPr>
              <w:t>Scope, applicability and proportionality</w:t>
            </w:r>
          </w:p>
        </w:tc>
      </w:tr>
      <w:tr>
        <w:trPr>
          <w:cantSplit/>
        </w:trPr>
        <w:tc>
          <w:tcPr>
            <w:tcW w:type="dxa" w:w="1584"/>
            <w:tcMar>
              <w:top w:w="90" w:type="dxa"/>
              <w:start w:w="120" w:type="dxa"/>
              <w:bottom w:w="90" w:type="dxa"/>
              <w:end w:w="120" w:type="dxa"/>
            </w:tcMar>
            <w:vAlign w:val="center"/>
            <w:shd w:fill="F8FAFC"/>
          </w:tcPr>
          <w:p>
            <w:pPr>
              <w:widowControl/>
              <w:spacing w:after="0"/>
            </w:pPr>
            <w:r>
              <w:rPr>
                <w:rFonts w:ascii="Calibri" w:hAnsi="Calibri"/>
                <w:b/>
                <w:color w:val="1F4D78"/>
                <w:sz w:val="18"/>
              </w:rPr>
              <w:t>4</w:t>
            </w:r>
          </w:p>
        </w:tc>
        <w:tc>
          <w:tcPr>
            <w:tcW w:type="dxa" w:w="8294"/>
            <w:tcMar>
              <w:top w:w="90" w:type="dxa"/>
              <w:start w:w="120" w:type="dxa"/>
              <w:bottom w:w="90" w:type="dxa"/>
              <w:end w:w="120" w:type="dxa"/>
            </w:tcMar>
            <w:vAlign w:val="center"/>
            <w:shd w:fill="F8FAFC"/>
          </w:tcPr>
          <w:p>
            <w:pPr>
              <w:widowControl/>
              <w:spacing w:after="0"/>
            </w:pPr>
            <w:r>
              <w:rPr>
                <w:rFonts w:ascii="Calibri" w:hAnsi="Calibri"/>
                <w:sz w:val="18"/>
              </w:rPr>
              <w:t>Framework objectives and principles</w:t>
            </w:r>
          </w:p>
        </w:tc>
      </w:tr>
      <w:tr>
        <w:trPr>
          <w:cantSplit/>
        </w:trPr>
        <w:tc>
          <w:tcPr>
            <w:tcW w:type="dxa" w:w="1584"/>
            <w:tcMar>
              <w:top w:w="90" w:type="dxa"/>
              <w:start w:w="120" w:type="dxa"/>
              <w:bottom w:w="90" w:type="dxa"/>
              <w:end w:w="120" w:type="dxa"/>
            </w:tcMar>
            <w:vAlign w:val="center"/>
          </w:tcPr>
          <w:p>
            <w:pPr>
              <w:widowControl/>
              <w:spacing w:after="0"/>
            </w:pPr>
            <w:r>
              <w:rPr>
                <w:rFonts w:ascii="Calibri" w:hAnsi="Calibri"/>
                <w:b/>
                <w:color w:val="1F4D78"/>
                <w:sz w:val="18"/>
              </w:rPr>
              <w:t>5</w:t>
            </w:r>
          </w:p>
        </w:tc>
        <w:tc>
          <w:tcPr>
            <w:tcW w:type="dxa" w:w="8294"/>
            <w:tcMar>
              <w:top w:w="90" w:type="dxa"/>
              <w:start w:w="120" w:type="dxa"/>
              <w:bottom w:w="90" w:type="dxa"/>
              <w:end w:w="120" w:type="dxa"/>
            </w:tcMar>
            <w:vAlign w:val="center"/>
          </w:tcPr>
          <w:p>
            <w:pPr>
              <w:widowControl/>
              <w:spacing w:after="0"/>
            </w:pPr>
            <w:r>
              <w:rPr>
                <w:rFonts w:ascii="Calibri" w:hAnsi="Calibri"/>
                <w:sz w:val="18"/>
              </w:rPr>
              <w:t>Governance, roles and accountability</w:t>
            </w:r>
          </w:p>
        </w:tc>
      </w:tr>
      <w:tr>
        <w:trPr>
          <w:cantSplit/>
        </w:trPr>
        <w:tc>
          <w:tcPr>
            <w:tcW w:type="dxa" w:w="1584"/>
            <w:tcMar>
              <w:top w:w="90" w:type="dxa"/>
              <w:start w:w="120" w:type="dxa"/>
              <w:bottom w:w="90" w:type="dxa"/>
              <w:end w:w="120" w:type="dxa"/>
            </w:tcMar>
            <w:vAlign w:val="center"/>
            <w:shd w:fill="F8FAFC"/>
          </w:tcPr>
          <w:p>
            <w:pPr>
              <w:widowControl/>
              <w:spacing w:after="0"/>
            </w:pPr>
            <w:r>
              <w:rPr>
                <w:rFonts w:ascii="Calibri" w:hAnsi="Calibri"/>
                <w:b/>
                <w:color w:val="1F4D78"/>
                <w:sz w:val="18"/>
              </w:rPr>
              <w:t>6</w:t>
            </w:r>
          </w:p>
        </w:tc>
        <w:tc>
          <w:tcPr>
            <w:tcW w:type="dxa" w:w="8294"/>
            <w:tcMar>
              <w:top w:w="90" w:type="dxa"/>
              <w:start w:w="120" w:type="dxa"/>
              <w:bottom w:w="90" w:type="dxa"/>
              <w:end w:w="120" w:type="dxa"/>
            </w:tcMar>
            <w:vAlign w:val="center"/>
            <w:shd w:fill="F8FAFC"/>
          </w:tcPr>
          <w:p>
            <w:pPr>
              <w:widowControl/>
              <w:spacing w:after="0"/>
            </w:pPr>
            <w:r>
              <w:rPr>
                <w:rFonts w:ascii="Calibri" w:hAnsi="Calibri"/>
                <w:sz w:val="18"/>
              </w:rPr>
              <w:t>ICT risk appetite and tolerance</w:t>
            </w:r>
          </w:p>
        </w:tc>
      </w:tr>
      <w:tr>
        <w:trPr>
          <w:cantSplit/>
        </w:trPr>
        <w:tc>
          <w:tcPr>
            <w:tcW w:type="dxa" w:w="1584"/>
            <w:tcMar>
              <w:top w:w="90" w:type="dxa"/>
              <w:start w:w="120" w:type="dxa"/>
              <w:bottom w:w="90" w:type="dxa"/>
              <w:end w:w="120" w:type="dxa"/>
            </w:tcMar>
            <w:vAlign w:val="center"/>
          </w:tcPr>
          <w:p>
            <w:pPr>
              <w:widowControl/>
              <w:spacing w:after="0"/>
            </w:pPr>
            <w:r>
              <w:rPr>
                <w:rFonts w:ascii="Calibri" w:hAnsi="Calibri"/>
                <w:b/>
                <w:color w:val="1F4D78"/>
                <w:sz w:val="18"/>
              </w:rPr>
              <w:t>7</w:t>
            </w:r>
          </w:p>
        </w:tc>
        <w:tc>
          <w:tcPr>
            <w:tcW w:type="dxa" w:w="8294"/>
            <w:tcMar>
              <w:top w:w="90" w:type="dxa"/>
              <w:start w:w="120" w:type="dxa"/>
              <w:bottom w:w="90" w:type="dxa"/>
              <w:end w:w="120" w:type="dxa"/>
            </w:tcMar>
            <w:vAlign w:val="center"/>
          </w:tcPr>
          <w:p>
            <w:pPr>
              <w:widowControl/>
              <w:spacing w:after="0"/>
            </w:pPr>
            <w:r>
              <w:rPr>
                <w:rFonts w:ascii="Calibri" w:hAnsi="Calibri"/>
                <w:sz w:val="18"/>
              </w:rPr>
              <w:t>ICT risk management process</w:t>
            </w:r>
          </w:p>
        </w:tc>
      </w:tr>
      <w:tr>
        <w:trPr>
          <w:cantSplit/>
        </w:trPr>
        <w:tc>
          <w:tcPr>
            <w:tcW w:type="dxa" w:w="1584"/>
            <w:tcMar>
              <w:top w:w="90" w:type="dxa"/>
              <w:start w:w="120" w:type="dxa"/>
              <w:bottom w:w="90" w:type="dxa"/>
              <w:end w:w="120" w:type="dxa"/>
            </w:tcMar>
            <w:vAlign w:val="center"/>
            <w:shd w:fill="F8FAFC"/>
          </w:tcPr>
          <w:p>
            <w:pPr>
              <w:widowControl/>
              <w:spacing w:after="0"/>
            </w:pPr>
            <w:r>
              <w:rPr>
                <w:rFonts w:ascii="Calibri" w:hAnsi="Calibri"/>
                <w:b/>
                <w:color w:val="1F4D78"/>
                <w:sz w:val="18"/>
              </w:rPr>
              <w:t>8</w:t>
            </w:r>
          </w:p>
        </w:tc>
        <w:tc>
          <w:tcPr>
            <w:tcW w:type="dxa" w:w="8294"/>
            <w:tcMar>
              <w:top w:w="90" w:type="dxa"/>
              <w:start w:w="120" w:type="dxa"/>
              <w:bottom w:w="90" w:type="dxa"/>
              <w:end w:w="120" w:type="dxa"/>
            </w:tcMar>
            <w:vAlign w:val="center"/>
            <w:shd w:fill="F8FAFC"/>
          </w:tcPr>
          <w:p>
            <w:pPr>
              <w:widowControl/>
              <w:spacing w:after="0"/>
            </w:pPr>
            <w:r>
              <w:rPr>
                <w:rFonts w:ascii="Calibri" w:hAnsi="Calibri"/>
                <w:sz w:val="18"/>
              </w:rPr>
              <w:t>Framework components and document architecture</w:t>
            </w:r>
          </w:p>
        </w:tc>
      </w:tr>
      <w:tr>
        <w:trPr>
          <w:cantSplit/>
        </w:trPr>
        <w:tc>
          <w:tcPr>
            <w:tcW w:type="dxa" w:w="1584"/>
            <w:tcMar>
              <w:top w:w="90" w:type="dxa"/>
              <w:start w:w="120" w:type="dxa"/>
              <w:bottom w:w="90" w:type="dxa"/>
              <w:end w:w="120" w:type="dxa"/>
            </w:tcMar>
            <w:vAlign w:val="center"/>
          </w:tcPr>
          <w:p>
            <w:pPr>
              <w:widowControl/>
              <w:spacing w:after="0"/>
            </w:pPr>
            <w:r>
              <w:rPr>
                <w:rFonts w:ascii="Calibri" w:hAnsi="Calibri"/>
                <w:b/>
                <w:color w:val="1F4D78"/>
                <w:sz w:val="18"/>
              </w:rPr>
              <w:t>9</w:t>
            </w:r>
          </w:p>
        </w:tc>
        <w:tc>
          <w:tcPr>
            <w:tcW w:type="dxa" w:w="8294"/>
            <w:tcMar>
              <w:top w:w="90" w:type="dxa"/>
              <w:start w:w="120" w:type="dxa"/>
              <w:bottom w:w="90" w:type="dxa"/>
              <w:end w:w="120" w:type="dxa"/>
            </w:tcMar>
            <w:vAlign w:val="center"/>
          </w:tcPr>
          <w:p>
            <w:pPr>
              <w:widowControl/>
              <w:spacing w:after="0"/>
            </w:pPr>
            <w:r>
              <w:rPr>
                <w:rFonts w:ascii="Calibri" w:hAnsi="Calibri"/>
                <w:sz w:val="18"/>
              </w:rPr>
              <w:t>Monitoring and management-body reporting</w:t>
            </w:r>
          </w:p>
        </w:tc>
      </w:tr>
      <w:tr>
        <w:trPr>
          <w:cantSplit/>
        </w:trPr>
        <w:tc>
          <w:tcPr>
            <w:tcW w:type="dxa" w:w="1584"/>
            <w:tcMar>
              <w:top w:w="90" w:type="dxa"/>
              <w:start w:w="120" w:type="dxa"/>
              <w:bottom w:w="90" w:type="dxa"/>
              <w:end w:w="120" w:type="dxa"/>
            </w:tcMar>
            <w:vAlign w:val="center"/>
            <w:shd w:fill="F8FAFC"/>
          </w:tcPr>
          <w:p>
            <w:pPr>
              <w:widowControl/>
              <w:spacing w:after="0"/>
            </w:pPr>
            <w:r>
              <w:rPr>
                <w:rFonts w:ascii="Calibri" w:hAnsi="Calibri"/>
                <w:b/>
                <w:color w:val="1F4D78"/>
                <w:sz w:val="18"/>
              </w:rPr>
              <w:t>10</w:t>
            </w:r>
          </w:p>
        </w:tc>
        <w:tc>
          <w:tcPr>
            <w:tcW w:type="dxa" w:w="8294"/>
            <w:tcMar>
              <w:top w:w="90" w:type="dxa"/>
              <w:start w:w="120" w:type="dxa"/>
              <w:bottom w:w="90" w:type="dxa"/>
              <w:end w:w="120" w:type="dxa"/>
            </w:tcMar>
            <w:vAlign w:val="center"/>
            <w:shd w:fill="F8FAFC"/>
          </w:tcPr>
          <w:p>
            <w:pPr>
              <w:widowControl/>
              <w:spacing w:after="0"/>
            </w:pPr>
            <w:r>
              <w:rPr>
                <w:rFonts w:ascii="Calibri" w:hAnsi="Calibri"/>
                <w:sz w:val="18"/>
              </w:rPr>
              <w:t>Training, resources and awareness</w:t>
            </w:r>
          </w:p>
        </w:tc>
      </w:tr>
      <w:tr>
        <w:trPr>
          <w:cantSplit/>
        </w:trPr>
        <w:tc>
          <w:tcPr>
            <w:tcW w:type="dxa" w:w="1584"/>
            <w:tcMar>
              <w:top w:w="90" w:type="dxa"/>
              <w:start w:w="120" w:type="dxa"/>
              <w:bottom w:w="90" w:type="dxa"/>
              <w:end w:w="120" w:type="dxa"/>
            </w:tcMar>
            <w:vAlign w:val="center"/>
          </w:tcPr>
          <w:p>
            <w:pPr>
              <w:widowControl/>
              <w:spacing w:after="0"/>
            </w:pPr>
            <w:r>
              <w:rPr>
                <w:rFonts w:ascii="Calibri" w:hAnsi="Calibri"/>
                <w:b/>
                <w:color w:val="1F4D78"/>
                <w:sz w:val="18"/>
              </w:rPr>
              <w:t>11</w:t>
            </w:r>
          </w:p>
        </w:tc>
        <w:tc>
          <w:tcPr>
            <w:tcW w:type="dxa" w:w="8294"/>
            <w:tcMar>
              <w:top w:w="90" w:type="dxa"/>
              <w:start w:w="120" w:type="dxa"/>
              <w:bottom w:w="90" w:type="dxa"/>
              <w:end w:w="120" w:type="dxa"/>
            </w:tcMar>
            <w:vAlign w:val="center"/>
          </w:tcPr>
          <w:p>
            <w:pPr>
              <w:widowControl/>
              <w:spacing w:after="0"/>
            </w:pPr>
            <w:r>
              <w:rPr>
                <w:rFonts w:ascii="Calibri" w:hAnsi="Calibri"/>
                <w:sz w:val="18"/>
              </w:rPr>
              <w:t>Assurance, internal audit and remediation</w:t>
            </w:r>
          </w:p>
        </w:tc>
      </w:tr>
      <w:tr>
        <w:trPr>
          <w:cantSplit/>
        </w:trPr>
        <w:tc>
          <w:tcPr>
            <w:tcW w:type="dxa" w:w="1584"/>
            <w:tcMar>
              <w:top w:w="90" w:type="dxa"/>
              <w:start w:w="120" w:type="dxa"/>
              <w:bottom w:w="90" w:type="dxa"/>
              <w:end w:w="120" w:type="dxa"/>
            </w:tcMar>
            <w:vAlign w:val="center"/>
            <w:shd w:fill="F8FAFC"/>
          </w:tcPr>
          <w:p>
            <w:pPr>
              <w:widowControl/>
              <w:spacing w:after="0"/>
            </w:pPr>
            <w:r>
              <w:rPr>
                <w:rFonts w:ascii="Calibri" w:hAnsi="Calibri"/>
                <w:b/>
                <w:color w:val="1F4D78"/>
                <w:sz w:val="18"/>
              </w:rPr>
              <w:t>12</w:t>
            </w:r>
          </w:p>
        </w:tc>
        <w:tc>
          <w:tcPr>
            <w:tcW w:type="dxa" w:w="8294"/>
            <w:tcMar>
              <w:top w:w="90" w:type="dxa"/>
              <w:start w:w="120" w:type="dxa"/>
              <w:bottom w:w="90" w:type="dxa"/>
              <w:end w:w="120" w:type="dxa"/>
            </w:tcMar>
            <w:vAlign w:val="center"/>
            <w:shd w:fill="F8FAFC"/>
          </w:tcPr>
          <w:p>
            <w:pPr>
              <w:widowControl/>
              <w:spacing w:after="0"/>
            </w:pPr>
            <w:r>
              <w:rPr>
                <w:rFonts w:ascii="Calibri" w:hAnsi="Calibri"/>
                <w:sz w:val="18"/>
              </w:rPr>
              <w:t>Exceptions and risk acceptance</w:t>
            </w:r>
          </w:p>
        </w:tc>
      </w:tr>
      <w:tr>
        <w:trPr>
          <w:cantSplit/>
        </w:trPr>
        <w:tc>
          <w:tcPr>
            <w:tcW w:type="dxa" w:w="1584"/>
            <w:tcMar>
              <w:top w:w="90" w:type="dxa"/>
              <w:start w:w="120" w:type="dxa"/>
              <w:bottom w:w="90" w:type="dxa"/>
              <w:end w:w="120" w:type="dxa"/>
            </w:tcMar>
            <w:vAlign w:val="center"/>
          </w:tcPr>
          <w:p>
            <w:pPr>
              <w:widowControl/>
              <w:spacing w:after="0"/>
            </w:pPr>
            <w:r>
              <w:rPr>
                <w:rFonts w:ascii="Calibri" w:hAnsi="Calibri"/>
                <w:b/>
                <w:color w:val="1F4D78"/>
                <w:sz w:val="18"/>
              </w:rPr>
              <w:t>13</w:t>
            </w:r>
          </w:p>
        </w:tc>
        <w:tc>
          <w:tcPr>
            <w:tcW w:type="dxa" w:w="8294"/>
            <w:tcMar>
              <w:top w:w="90" w:type="dxa"/>
              <w:start w:w="120" w:type="dxa"/>
              <w:bottom w:w="90" w:type="dxa"/>
              <w:end w:w="120" w:type="dxa"/>
            </w:tcMar>
            <w:vAlign w:val="center"/>
          </w:tcPr>
          <w:p>
            <w:pPr>
              <w:widowControl/>
              <w:spacing w:after="0"/>
            </w:pPr>
            <w:r>
              <w:rPr>
                <w:rFonts w:ascii="Calibri" w:hAnsi="Calibri"/>
                <w:sz w:val="18"/>
              </w:rPr>
              <w:t>Review and continuous improvement</w:t>
            </w:r>
          </w:p>
        </w:tc>
      </w:tr>
      <w:tr>
        <w:trPr>
          <w:cantSplit/>
        </w:trPr>
        <w:tc>
          <w:tcPr>
            <w:tcW w:type="dxa" w:w="1584"/>
            <w:tcMar>
              <w:top w:w="90" w:type="dxa"/>
              <w:start w:w="120" w:type="dxa"/>
              <w:bottom w:w="90" w:type="dxa"/>
              <w:end w:w="120" w:type="dxa"/>
            </w:tcMar>
            <w:vAlign w:val="center"/>
            <w:shd w:fill="F8FAFC"/>
          </w:tcPr>
          <w:p>
            <w:pPr>
              <w:widowControl/>
              <w:spacing w:after="0"/>
            </w:pPr>
            <w:r>
              <w:rPr>
                <w:rFonts w:ascii="Calibri" w:hAnsi="Calibri"/>
                <w:b/>
                <w:color w:val="1F4D78"/>
                <w:sz w:val="18"/>
              </w:rPr>
              <w:t>14</w:t>
            </w:r>
          </w:p>
        </w:tc>
        <w:tc>
          <w:tcPr>
            <w:tcW w:type="dxa" w:w="8294"/>
            <w:tcMar>
              <w:top w:w="90" w:type="dxa"/>
              <w:start w:w="120" w:type="dxa"/>
              <w:bottom w:w="90" w:type="dxa"/>
              <w:end w:w="120" w:type="dxa"/>
            </w:tcMar>
            <w:vAlign w:val="center"/>
            <w:shd w:fill="F8FAFC"/>
          </w:tcPr>
          <w:p>
            <w:pPr>
              <w:widowControl/>
              <w:spacing w:after="0"/>
            </w:pPr>
            <w:r>
              <w:rPr>
                <w:rFonts w:ascii="Calibri" w:hAnsi="Calibri"/>
                <w:sz w:val="18"/>
              </w:rPr>
              <w:t>Records, accessibility and retention</w:t>
            </w:r>
          </w:p>
        </w:tc>
      </w:tr>
      <w:tr>
        <w:trPr>
          <w:cantSplit/>
        </w:trPr>
        <w:tc>
          <w:tcPr>
            <w:tcW w:type="dxa" w:w="1584"/>
            <w:tcMar>
              <w:top w:w="90" w:type="dxa"/>
              <w:start w:w="120" w:type="dxa"/>
              <w:bottom w:w="90" w:type="dxa"/>
              <w:end w:w="120" w:type="dxa"/>
            </w:tcMar>
            <w:vAlign w:val="center"/>
          </w:tcPr>
          <w:p>
            <w:pPr>
              <w:widowControl/>
              <w:spacing w:after="0"/>
            </w:pPr>
            <w:r>
              <w:rPr>
                <w:rFonts w:ascii="Calibri" w:hAnsi="Calibri"/>
                <w:b/>
                <w:color w:val="1F4D78"/>
                <w:sz w:val="18"/>
              </w:rPr>
              <w:t>Appendices</w:t>
            </w:r>
          </w:p>
        </w:tc>
        <w:tc>
          <w:tcPr>
            <w:tcW w:type="dxa" w:w="8294"/>
            <w:tcMar>
              <w:top w:w="90" w:type="dxa"/>
              <w:start w:w="120" w:type="dxa"/>
              <w:bottom w:w="90" w:type="dxa"/>
              <w:end w:w="120" w:type="dxa"/>
            </w:tcMar>
            <w:vAlign w:val="center"/>
          </w:tcPr>
          <w:p>
            <w:pPr>
              <w:widowControl/>
              <w:spacing w:after="0"/>
            </w:pPr>
            <w:r>
              <w:rPr>
                <w:rFonts w:ascii="Calibri" w:hAnsi="Calibri"/>
                <w:sz w:val="18"/>
              </w:rPr>
              <w:t>RACI, reporting dashboard, risk acceptance form and review checklist</w:t>
            </w:r>
          </w:p>
        </w:tc>
      </w:tr>
    </w:tbl>
    <w:p>
      <w:pPr>
        <w:widowControl/>
        <w:spacing w:after="0"/>
      </w:pPr>
    </w:p>
    <w:tbl>
      <w:tblPr>
        <w:tblW w:type="auto" w:w="0"/>
        <w:jc w:val="center"/>
        <w:tblLayout w:type="fixed"/>
        <w:tblLook w:firstColumn="1" w:firstRow="1" w:lastColumn="0" w:lastRow="0" w:noHBand="0" w:noVBand="1" w:val="04A0"/>
      </w:tblPr>
      <w:tblGrid>
        <w:gridCol w:w="172"/>
        <w:gridCol w:w="9705"/>
      </w:tblGrid>
      <w:tr>
        <w:tc>
          <w:tcPr>
            <w:tcW w:type="dxa" w:w="172"/>
            <w:shd w:fill="0F6B78"/>
            <w:tcMar>
              <w:top w:w="0" w:type="dxa"/>
              <w:start w:w="0" w:type="dxa"/>
              <w:bottom w:w="0" w:type="dxa"/>
              <w:end w:w="0" w:type="dxa"/>
            </w:tcMar>
            <w:tcBorders>
              <w:top w:val="nil"/>
              <w:left w:val="nil"/>
              <w:bottom w:val="nil"/>
              <w:right w:val="nil"/>
            </w:tcBorders>
            <w:vAlign w:val="center"/>
          </w:tcPr>
          <w:p>
            <w:pPr>
              <w:widowControl/>
            </w:pPr>
          </w:p>
        </w:tc>
        <w:tc>
          <w:tcPr>
            <w:tcW w:type="dxa" w:w="9705"/>
            <w:shd w:fill="F3F7FA"/>
            <w:tcMar>
              <w:top w:w="120" w:type="dxa"/>
              <w:start w:w="150" w:type="dxa"/>
              <w:bottom w:w="120" w:type="dxa"/>
              <w:end w:w="150" w:type="dxa"/>
            </w:tcMar>
            <w:tcBorders>
              <w:top w:val="nil"/>
              <w:left w:val="nil"/>
              <w:bottom w:val="nil"/>
              <w:right w:val="nil"/>
            </w:tcBorders>
            <w:vAlign w:val="center"/>
          </w:tcPr>
          <w:p>
            <w:pPr>
              <w:widowControl/>
            </w:pPr>
            <w:r>
              <w:rPr>
                <w:rFonts w:ascii="Calibri" w:hAnsi="Calibri"/>
                <w:b/>
                <w:color w:val="0F6B78"/>
                <w:sz w:val="18"/>
              </w:rPr>
              <w:t>HOW D01 WORKS</w:t>
            </w:r>
            <w:r>
              <w:rPr>
                <w:rFonts w:ascii="Calibri" w:hAnsi="Calibri"/>
              </w:rPr>
              <w:br/>
              <w:t>D01 records the management body’s decisions and the firm’s governance and risk methodology. D02–D14 contain the detailed policies, procedures, plans, registers and evidence. If there is a conflict, applicable law prevails; otherwise the more specific controlled document governs operational detail, subject to this Framework’s risk tolerance and escalation rules.</w:t>
            </w:r>
          </w:p>
        </w:tc>
      </w:tr>
    </w:tbl>
    <w:p>
      <w:pPr>
        <w:pStyle w:val="Heading2"/>
        <w:widowControl/>
      </w:pPr>
      <w:r>
        <w:t>Template conventions</w:t>
      </w:r>
    </w:p>
    <w:tbl>
      <w:tblPr>
        <w:tblStyle w:val="TableGrid"/>
        <w:tblW w:type="auto" w:w="0"/>
        <w:jc w:val="center"/>
        <w:tblLayout w:type="fixed"/>
        <w:tblLook w:firstColumn="1" w:firstRow="1" w:lastColumn="0" w:lastRow="0" w:noHBand="0" w:noVBand="1" w:val="04A0"/>
      </w:tblPr>
      <w:tblGrid>
        <w:gridCol w:w="2448"/>
        <w:gridCol w:w="7430"/>
      </w:tblGrid>
      <w:tr>
        <w:trPr>
          <w:tblHeader w:val="true"/>
        </w:trPr>
        <w:tc>
          <w:tcPr>
            <w:tcW w:type="dxa" w:w="2448"/>
            <w:shd w:fill="17365D"/>
            <w:tcMar>
              <w:top w:w="90" w:type="dxa"/>
              <w:start w:w="120" w:type="dxa"/>
              <w:bottom w:w="90" w:type="dxa"/>
              <w:end w:w="120" w:type="dxa"/>
            </w:tcMar>
            <w:vAlign w:val="center"/>
          </w:tcPr>
          <w:p>
            <w:pPr>
              <w:widowControl/>
              <w:jc w:val="left"/>
            </w:pPr>
            <w:r>
              <w:rPr>
                <w:rFonts w:ascii="Calibri" w:hAnsi="Calibri"/>
                <w:b/>
                <w:color w:val="FFFFFF"/>
                <w:sz w:val="18"/>
              </w:rPr>
              <w:t>Convention</w:t>
            </w:r>
          </w:p>
        </w:tc>
        <w:tc>
          <w:tcPr>
            <w:tcW w:type="dxa" w:w="7430"/>
            <w:shd w:fill="17365D"/>
            <w:tcMar>
              <w:top w:w="90" w:type="dxa"/>
              <w:start w:w="120" w:type="dxa"/>
              <w:bottom w:w="90" w:type="dxa"/>
              <w:end w:w="120" w:type="dxa"/>
            </w:tcMar>
            <w:vAlign w:val="center"/>
          </w:tcPr>
          <w:p>
            <w:pPr>
              <w:widowControl/>
              <w:jc w:val="left"/>
            </w:pPr>
            <w:r>
              <w:rPr>
                <w:rFonts w:ascii="Calibri" w:hAnsi="Calibri"/>
                <w:b/>
                <w:color w:val="FFFFFF"/>
                <w:sz w:val="18"/>
              </w:rPr>
              <w:t>Meaning / required action</w:t>
            </w:r>
          </w:p>
        </w:tc>
      </w:tr>
      <w:tr>
        <w:trPr>
          <w:cantSplit/>
        </w:trPr>
        <w:tc>
          <w:tcPr>
            <w:tcW w:type="dxa" w:w="2448"/>
            <w:tcMar>
              <w:top w:w="90" w:type="dxa"/>
              <w:start w:w="120" w:type="dxa"/>
              <w:bottom w:w="90" w:type="dxa"/>
              <w:end w:w="120" w:type="dxa"/>
            </w:tcMar>
            <w:vAlign w:val="center"/>
          </w:tcPr>
          <w:p>
            <w:pPr>
              <w:widowControl/>
              <w:spacing w:after="0"/>
            </w:pPr>
            <w:r>
              <w:rPr>
                <w:rFonts w:ascii="Calibri" w:hAnsi="Calibri"/>
                <w:b/>
                <w:color w:val="1F4D78"/>
                <w:sz w:val="18"/>
              </w:rPr>
              <w:t>[YELLOW BRACKETS]</w:t>
            </w:r>
          </w:p>
        </w:tc>
        <w:tc>
          <w:tcPr>
            <w:tcW w:type="dxa" w:w="7430"/>
            <w:tcMar>
              <w:top w:w="90" w:type="dxa"/>
              <w:start w:w="120" w:type="dxa"/>
              <w:bottom w:w="90" w:type="dxa"/>
              <w:end w:w="120" w:type="dxa"/>
            </w:tcMar>
            <w:vAlign w:val="center"/>
          </w:tcPr>
          <w:p>
            <w:pPr>
              <w:widowControl/>
              <w:spacing w:after="0"/>
            </w:pPr>
            <w:r>
              <w:rPr>
                <w:rFonts w:ascii="Calibri" w:hAnsi="Calibri"/>
                <w:sz w:val="18"/>
              </w:rPr>
              <w:t>Complete with entity-specific information and remove highlighting.</w:t>
            </w:r>
          </w:p>
        </w:tc>
      </w:tr>
      <w:tr>
        <w:trPr>
          <w:cantSplit/>
        </w:trPr>
        <w:tc>
          <w:tcPr>
            <w:tcW w:type="dxa" w:w="2448"/>
            <w:tcMar>
              <w:top w:w="90" w:type="dxa"/>
              <w:start w:w="120" w:type="dxa"/>
              <w:bottom w:w="90" w:type="dxa"/>
              <w:end w:w="120" w:type="dxa"/>
            </w:tcMar>
            <w:vAlign w:val="center"/>
            <w:shd w:fill="F8FAFC"/>
          </w:tcPr>
          <w:p>
            <w:pPr>
              <w:widowControl/>
              <w:spacing w:after="0"/>
            </w:pPr>
            <w:r>
              <w:rPr>
                <w:rFonts w:ascii="Calibri" w:hAnsi="Calibri"/>
                <w:b/>
                <w:color w:val="1F4D78"/>
                <w:sz w:val="18"/>
              </w:rPr>
              <w:t>Drafting note</w:t>
            </w:r>
          </w:p>
        </w:tc>
        <w:tc>
          <w:tcPr>
            <w:tcW w:type="dxa" w:w="7430"/>
            <w:tcMar>
              <w:top w:w="90" w:type="dxa"/>
              <w:start w:w="120" w:type="dxa"/>
              <w:bottom w:w="90" w:type="dxa"/>
              <w:end w:w="120" w:type="dxa"/>
            </w:tcMar>
            <w:vAlign w:val="center"/>
            <w:shd w:fill="F8FAFC"/>
          </w:tcPr>
          <w:p>
            <w:pPr>
              <w:widowControl/>
              <w:spacing w:after="0"/>
            </w:pPr>
            <w:r>
              <w:rPr>
                <w:rFonts w:ascii="Calibri" w:hAnsi="Calibri"/>
                <w:sz w:val="18"/>
              </w:rPr>
              <w:t>Instruction for the drafter; delete before approval.</w:t>
            </w:r>
          </w:p>
        </w:tc>
      </w:tr>
      <w:tr>
        <w:trPr>
          <w:cantSplit/>
        </w:trPr>
        <w:tc>
          <w:tcPr>
            <w:tcW w:type="dxa" w:w="2448"/>
            <w:tcMar>
              <w:top w:w="90" w:type="dxa"/>
              <w:start w:w="120" w:type="dxa"/>
              <w:bottom w:w="90" w:type="dxa"/>
              <w:end w:w="120" w:type="dxa"/>
            </w:tcMar>
            <w:vAlign w:val="center"/>
          </w:tcPr>
          <w:p>
            <w:pPr>
              <w:widowControl/>
              <w:spacing w:after="0"/>
            </w:pPr>
            <w:r>
              <w:rPr>
                <w:rFonts w:ascii="Calibri" w:hAnsi="Calibri"/>
                <w:b/>
                <w:color w:val="1F4D78"/>
                <w:sz w:val="18"/>
              </w:rPr>
              <w:t>“must” / “shall”</w:t>
            </w:r>
          </w:p>
        </w:tc>
        <w:tc>
          <w:tcPr>
            <w:tcW w:type="dxa" w:w="7430"/>
            <w:tcMar>
              <w:top w:w="90" w:type="dxa"/>
              <w:start w:w="120" w:type="dxa"/>
              <w:bottom w:w="90" w:type="dxa"/>
              <w:end w:w="120" w:type="dxa"/>
            </w:tcMar>
            <w:vAlign w:val="center"/>
          </w:tcPr>
          <w:p>
            <w:pPr>
              <w:widowControl/>
              <w:spacing w:after="0"/>
            </w:pPr>
            <w:r>
              <w:rPr>
                <w:rFonts w:ascii="Calibri" w:hAnsi="Calibri"/>
                <w:sz w:val="18"/>
              </w:rPr>
              <w:t>Mandatory internal requirement once adopted.</w:t>
            </w:r>
          </w:p>
        </w:tc>
      </w:tr>
      <w:tr>
        <w:trPr>
          <w:cantSplit/>
        </w:trPr>
        <w:tc>
          <w:tcPr>
            <w:tcW w:type="dxa" w:w="2448"/>
            <w:tcMar>
              <w:top w:w="90" w:type="dxa"/>
              <w:start w:w="120" w:type="dxa"/>
              <w:bottom w:w="90" w:type="dxa"/>
              <w:end w:w="120" w:type="dxa"/>
            </w:tcMar>
            <w:vAlign w:val="center"/>
            <w:shd w:fill="F8FAFC"/>
          </w:tcPr>
          <w:p>
            <w:pPr>
              <w:widowControl/>
              <w:spacing w:after="0"/>
            </w:pPr>
            <w:r>
              <w:rPr>
                <w:rFonts w:ascii="Calibri" w:hAnsi="Calibri"/>
                <w:b/>
                <w:color w:val="1F4D78"/>
                <w:sz w:val="18"/>
              </w:rPr>
              <w:t>“may”</w:t>
            </w:r>
          </w:p>
        </w:tc>
        <w:tc>
          <w:tcPr>
            <w:tcW w:type="dxa" w:w="7430"/>
            <w:tcMar>
              <w:top w:w="90" w:type="dxa"/>
              <w:start w:w="120" w:type="dxa"/>
              <w:bottom w:w="90" w:type="dxa"/>
              <w:end w:w="120" w:type="dxa"/>
            </w:tcMar>
            <w:vAlign w:val="center"/>
            <w:shd w:fill="F8FAFC"/>
          </w:tcPr>
          <w:p>
            <w:pPr>
              <w:widowControl/>
              <w:spacing w:after="0"/>
            </w:pPr>
            <w:r>
              <w:rPr>
                <w:rFonts w:ascii="Calibri" w:hAnsi="Calibri"/>
                <w:sz w:val="18"/>
              </w:rPr>
              <w:t>Permitted discretion, exercised consistently with risk tolerance and applicable law.</w:t>
            </w:r>
          </w:p>
        </w:tc>
      </w:tr>
      <w:tr>
        <w:trPr>
          <w:cantSplit/>
        </w:trPr>
        <w:tc>
          <w:tcPr>
            <w:tcW w:type="dxa" w:w="2448"/>
            <w:tcMar>
              <w:top w:w="90" w:type="dxa"/>
              <w:start w:w="120" w:type="dxa"/>
              <w:bottom w:w="90" w:type="dxa"/>
              <w:end w:w="120" w:type="dxa"/>
            </w:tcMar>
            <w:vAlign w:val="center"/>
          </w:tcPr>
          <w:p>
            <w:pPr>
              <w:widowControl/>
              <w:spacing w:after="0"/>
            </w:pPr>
            <w:r>
              <w:rPr>
                <w:rFonts w:ascii="Calibri" w:hAnsi="Calibri"/>
                <w:b/>
                <w:color w:val="1F4D78"/>
                <w:sz w:val="18"/>
              </w:rPr>
              <w:t>D01–D14</w:t>
            </w:r>
          </w:p>
        </w:tc>
        <w:tc>
          <w:tcPr>
            <w:tcW w:type="dxa" w:w="7430"/>
            <w:tcMar>
              <w:top w:w="90" w:type="dxa"/>
              <w:start w:w="120" w:type="dxa"/>
              <w:bottom w:w="90" w:type="dxa"/>
              <w:end w:w="120" w:type="dxa"/>
            </w:tcMar>
            <w:vAlign w:val="center"/>
          </w:tcPr>
          <w:p>
            <w:pPr>
              <w:widowControl/>
              <w:spacing w:after="0"/>
            </w:pPr>
            <w:r>
              <w:rPr>
                <w:rFonts w:ascii="Calibri" w:hAnsi="Calibri"/>
                <w:sz w:val="18"/>
              </w:rPr>
              <w:t>Controlled deliverable identifier from the firm’s DORA documentation architecture.</w:t>
            </w:r>
          </w:p>
        </w:tc>
      </w:tr>
    </w:tbl>
    <w:p>
      <w:pPr>
        <w:widowControl/>
        <w:spacing w:after="0"/>
      </w:pPr>
    </w:p>
    <w:p>
      <w:pPr>
        <w:pStyle w:val="Heading2"/>
        <w:widowControl/>
      </w:pPr>
      <w:r>
        <w:t>Definitions and interpretation</w:t>
      </w:r>
    </w:p>
    <w:p>
      <w:pPr>
        <w:widowControl/>
      </w:pPr>
      <w:r>
        <w:t>Capitalised terms not defined in this Framework have the meaning given in DORA. For this Framework:</w:t>
      </w:r>
    </w:p>
    <w:tbl>
      <w:tblPr>
        <w:tblStyle w:val="TableGrid"/>
        <w:tblW w:type="auto" w:w="0"/>
        <w:jc w:val="center"/>
        <w:tblLayout w:type="fixed"/>
        <w:tblLook w:firstColumn="1" w:firstRow="1" w:lastColumn="0" w:lastRow="0" w:noHBand="0" w:noVBand="1" w:val="04A0"/>
      </w:tblPr>
      <w:tblGrid>
        <w:gridCol w:w="2880"/>
        <w:gridCol w:w="6998"/>
      </w:tblGrid>
      <w:tr>
        <w:trPr>
          <w:tblHeader w:val="true"/>
        </w:trPr>
        <w:tc>
          <w:tcPr>
            <w:tcW w:type="dxa" w:w="2880"/>
            <w:shd w:fill="17365D"/>
            <w:tcMar>
              <w:top w:w="90" w:type="dxa"/>
              <w:start w:w="120" w:type="dxa"/>
              <w:bottom w:w="90" w:type="dxa"/>
              <w:end w:w="120" w:type="dxa"/>
            </w:tcMar>
            <w:vAlign w:val="center"/>
          </w:tcPr>
          <w:p>
            <w:pPr>
              <w:widowControl/>
              <w:jc w:val="left"/>
            </w:pPr>
            <w:r>
              <w:rPr>
                <w:rFonts w:ascii="Calibri" w:hAnsi="Calibri"/>
                <w:b/>
                <w:color w:val="FFFFFF"/>
                <w:sz w:val="17"/>
              </w:rPr>
              <w:t>Term</w:t>
            </w:r>
          </w:p>
        </w:tc>
        <w:tc>
          <w:tcPr>
            <w:tcW w:type="dxa" w:w="6998"/>
            <w:shd w:fill="17365D"/>
            <w:tcMar>
              <w:top w:w="90" w:type="dxa"/>
              <w:start w:w="120" w:type="dxa"/>
              <w:bottom w:w="90" w:type="dxa"/>
              <w:end w:w="120" w:type="dxa"/>
            </w:tcMar>
            <w:vAlign w:val="center"/>
          </w:tcPr>
          <w:p>
            <w:pPr>
              <w:widowControl/>
              <w:jc w:val="left"/>
            </w:pPr>
            <w:r>
              <w:rPr>
                <w:rFonts w:ascii="Calibri" w:hAnsi="Calibri"/>
                <w:b/>
                <w:color w:val="FFFFFF"/>
                <w:sz w:val="17"/>
              </w:rPr>
              <w:t>Meaning</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7"/>
              </w:rPr>
              <w:t>Critical or important function</w:t>
            </w:r>
          </w:p>
        </w:tc>
        <w:tc>
          <w:tcPr>
            <w:tcW w:type="dxa" w:w="6998"/>
            <w:tcMar>
              <w:top w:w="90" w:type="dxa"/>
              <w:start w:w="120" w:type="dxa"/>
              <w:bottom w:w="90" w:type="dxa"/>
              <w:end w:w="120" w:type="dxa"/>
            </w:tcMar>
            <w:vAlign w:val="center"/>
          </w:tcPr>
          <w:p>
            <w:pPr>
              <w:widowControl/>
              <w:spacing w:after="0"/>
            </w:pPr>
            <w:r>
              <w:rPr>
                <w:rFonts w:ascii="Calibri" w:hAnsi="Calibri"/>
                <w:sz w:val="17"/>
              </w:rPr>
              <w:t>A function the disruption of which would materially impair the firm’s financial performance, soundness or continuity of services and activities, or compliance with authorisation conditions or other obligations under applicable financial-services law.</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7"/>
              </w:rPr>
              <w:t>DORA</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7"/>
              </w:rPr>
              <w:t>Regulation (EU) 2022/2554 on digital operational resilience for the financial sector, as incorporated into the EEA Agreement and implemented or made applicable in Iceland.</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7"/>
              </w:rPr>
              <w:t>ICT risk</w:t>
            </w:r>
          </w:p>
        </w:tc>
        <w:tc>
          <w:tcPr>
            <w:tcW w:type="dxa" w:w="6998"/>
            <w:tcMar>
              <w:top w:w="90" w:type="dxa"/>
              <w:start w:w="120" w:type="dxa"/>
              <w:bottom w:w="90" w:type="dxa"/>
              <w:end w:w="120" w:type="dxa"/>
            </w:tcMar>
            <w:vAlign w:val="center"/>
          </w:tcPr>
          <w:p>
            <w:pPr>
              <w:widowControl/>
              <w:spacing w:after="0"/>
            </w:pPr>
            <w:r>
              <w:rPr>
                <w:rFonts w:ascii="Calibri" w:hAnsi="Calibri"/>
                <w:sz w:val="17"/>
              </w:rPr>
              <w:t>Any reasonably identifiable circumstance in relation to the use of network and information systems which, if materialised, may compromise the security of those systems, technology-dependent tools or processes, operations or services.</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7"/>
              </w:rPr>
              <w:t>Management body</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7"/>
              </w:rPr>
              <w:t>The firm’s board of directors or other body performing the management-body responsibilities under applicable corporate and financial-services law.</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7"/>
              </w:rPr>
              <w:t>Residual risk</w:t>
            </w:r>
          </w:p>
        </w:tc>
        <w:tc>
          <w:tcPr>
            <w:tcW w:type="dxa" w:w="6998"/>
            <w:tcMar>
              <w:top w:w="90" w:type="dxa"/>
              <w:start w:w="120" w:type="dxa"/>
              <w:bottom w:w="90" w:type="dxa"/>
              <w:end w:w="120" w:type="dxa"/>
            </w:tcMar>
            <w:vAlign w:val="center"/>
          </w:tcPr>
          <w:p>
            <w:pPr>
              <w:widowControl/>
              <w:spacing w:after="0"/>
            </w:pPr>
            <w:r>
              <w:rPr>
                <w:rFonts w:ascii="Calibri" w:hAnsi="Calibri"/>
                <w:sz w:val="17"/>
              </w:rPr>
              <w:t>ICT risk remaining after controls and risk treatment measures have been considered.</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7"/>
              </w:rPr>
              <w:t>SNI investment firm</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7"/>
              </w:rPr>
              <w:t>A small and non-interconnected investment firm meeting Article 12(1) of Regulation (EU) 2019/2033.</w:t>
            </w:r>
          </w:p>
        </w:tc>
      </w:tr>
    </w:tbl>
    <w:p>
      <w:pPr>
        <w:widowControl/>
        <w:spacing w:after="0"/>
      </w:pPr>
    </w:p>
    <w:p>
      <w:pPr>
        <w:pStyle w:val="Heading1"/>
        <w:widowControl/>
      </w:pPr>
      <w:r>
        <w:t>1. Purpose and status</w:t>
      </w:r>
    </w:p>
    <w:p>
      <w:pPr>
        <w:widowControl/>
      </w:pPr>
      <w:r>
        <w:t>1.1 This Framework establishes the internal governance and control arrangements through which the firm identifies, assesses, manages, monitors and reports ICT risk and maintains a high level of digital operational resilience proportionate to its nature, scale, complexity and overall risk profile.</w:t>
      </w:r>
    </w:p>
    <w:p>
      <w:pPr>
        <w:widowControl/>
      </w:pPr>
      <w:r>
        <w:t>1.2 It constitutes the firm’s documented simplified ICT risk management framework for the purposes of Article 16(1)(a) DORA and is the umbrella instrument for D02–D14.</w:t>
      </w:r>
    </w:p>
    <w:p>
      <w:pPr>
        <w:widowControl/>
      </w:pPr>
      <w:r>
        <w:t>1.3 This Framework is binding on all directors, employees, contractors and persons performing ICT-related, control or oversight tasks for the firm. Outsourcing a task does not transfer the firm’s responsibility for compliance or risk ownership.</w:t>
      </w:r>
    </w:p>
    <w:p>
      <w:pPr>
        <w:widowControl/>
      </w:pPr>
      <w:r>
        <w:t>1.4 The management body bears overall responsibility for this Framework. Day-to-day implementation may be delegated only with clear authority, resources, reporting and oversight.</w:t>
      </w:r>
    </w:p>
    <w:p>
      <w:pPr>
        <w:pStyle w:val="Heading1"/>
        <w:widowControl/>
      </w:pPr>
      <w:r>
        <w:t>2. Legal and regulatory basis</w:t>
      </w:r>
    </w:p>
    <w:p>
      <w:pPr>
        <w:widowControl/>
      </w:pPr>
      <w:r>
        <w:t>This Framework is principally based on:</w:t>
      </w:r>
    </w:p>
    <w:p>
      <w:pPr>
        <w:pStyle w:val="ListBullet"/>
        <w:widowControl/>
        <w:ind w:left="475"/>
      </w:pPr>
      <w:r>
        <w:t>Article 16 of DORA, which applies the simplified ICT risk management framework to SNI investment firms and disapplies Articles 5–15;</w:t>
      </w:r>
    </w:p>
    <w:p>
      <w:pPr>
        <w:pStyle w:val="ListBullet"/>
        <w:widowControl/>
        <w:ind w:left="475"/>
      </w:pPr>
      <w:r>
        <w:t>Articles 28–41 of Commission Delegated Regulation (EU) 2024/1774, which specify the simplified framework, including governance, information security, asset classification, risk management, controls, continuity, testing and the review report;</w:t>
      </w:r>
    </w:p>
    <w:p>
      <w:pPr>
        <w:pStyle w:val="ListBullet"/>
        <w:widowControl/>
        <w:ind w:left="475"/>
      </w:pPr>
      <w:r>
        <w:t>DORA provisions that continue to apply independently, including ICT-related incident management and reporting, digital operational resilience testing and ICT third-party risk; and</w:t>
      </w:r>
    </w:p>
    <w:p>
      <w:pPr>
        <w:pStyle w:val="ListBullet"/>
        <w:widowControl/>
        <w:ind w:left="475"/>
      </w:pPr>
      <w:r>
        <w:t>applicable Icelandic legislation, supervisory requirements and guidance, together with other applicable requirements including data protection, professional secrecy, recordkeeping and sectoral governance rules.</w:t>
      </w:r>
    </w:p>
    <w:tbl>
      <w:tblPr>
        <w:tblW w:type="auto" w:w="0"/>
        <w:jc w:val="center"/>
        <w:tblLayout w:type="fixed"/>
        <w:tblLook w:firstColumn="1" w:firstRow="1" w:lastColumn="0" w:lastRow="0" w:noHBand="0" w:noVBand="1" w:val="04A0"/>
      </w:tblPr>
      <w:tblGrid>
        <w:gridCol w:w="9878"/>
      </w:tblGrid>
      <w:tr>
        <w:tc>
          <w:tcPr>
            <w:tcW w:type="dxa" w:w="9878"/>
            <w:shd w:fill="F2F4F7"/>
            <w:tcBorders>
              <w:top w:val="single" w:sz="6" w:color="D0D5DD"/>
              <w:left w:val="single" w:sz="6" w:color="D0D5DD"/>
              <w:bottom w:val="single" w:sz="6" w:color="D0D5DD"/>
              <w:right w:val="single" w:sz="6" w:color="D0D5DD"/>
            </w:tcBorders>
            <w:vAlign w:val="center"/>
          </w:tcPr>
          <w:p>
            <w:pPr>
              <w:pStyle w:val="DraftingNote"/>
              <w:widowControl/>
            </w:pPr>
            <w:r>
              <w:rPr>
                <w:rFonts w:ascii="Calibri" w:hAnsi="Calibri"/>
                <w:b/>
                <w:color w:val="1F4D78"/>
              </w:rPr>
              <w:t xml:space="preserve">DRAFTING NOTE  </w:t>
            </w:r>
            <w:r>
              <w:rPr>
                <w:rFonts w:ascii="Calibri" w:hAnsi="Calibri"/>
              </w:rPr>
              <w:t>Confirm the Icelandic implementing reference and the exact supervisory terminology in force on the approval date. This template intentionally avoids treating Articles 5–15 DORA or Title II of Delegated Regulation 2024/1774 as directly applicable to an SNI firm.</w:t>
            </w:r>
          </w:p>
        </w:tc>
      </w:tr>
    </w:tbl>
    <w:p>
      <w:pPr>
        <w:pStyle w:val="Heading1"/>
        <w:widowControl/>
      </w:pPr>
      <w:r>
        <w:t>3. Scope, applicability and proportionality</w:t>
      </w:r>
    </w:p>
    <w:p>
      <w:pPr>
        <w:pStyle w:val="Heading2"/>
        <w:widowControl/>
      </w:pPr>
      <w:r>
        <w:t>3.1 Entity classification</w:t>
      </w:r>
    </w:p>
    <w:tbl>
      <w:tblPr>
        <w:tblStyle w:val="TableGrid"/>
        <w:tblW w:type="auto" w:w="0"/>
        <w:jc w:val="center"/>
        <w:tblLayout w:type="fixed"/>
        <w:tblLook w:firstColumn="1" w:firstRow="1" w:lastColumn="0" w:lastRow="0" w:noHBand="0" w:noVBand="1" w:val="04A0"/>
      </w:tblPr>
      <w:tblGrid>
        <w:gridCol w:w="3240"/>
        <w:gridCol w:w="3816"/>
        <w:gridCol w:w="2822"/>
      </w:tblGrid>
      <w:tr>
        <w:trPr>
          <w:tblHeader w:val="true"/>
        </w:trPr>
        <w:tc>
          <w:tcPr>
            <w:tcW w:type="dxa" w:w="3240"/>
            <w:shd w:fill="17365D"/>
            <w:tcMar>
              <w:top w:w="90" w:type="dxa"/>
              <w:start w:w="120" w:type="dxa"/>
              <w:bottom w:w="90" w:type="dxa"/>
              <w:end w:w="120" w:type="dxa"/>
            </w:tcMar>
            <w:vAlign w:val="center"/>
          </w:tcPr>
          <w:p>
            <w:pPr>
              <w:widowControl/>
              <w:jc w:val="left"/>
            </w:pPr>
            <w:r>
              <w:rPr>
                <w:rFonts w:ascii="Calibri" w:hAnsi="Calibri"/>
                <w:b/>
                <w:color w:val="FFFFFF"/>
                <w:sz w:val="17"/>
              </w:rPr>
              <w:t>Question</w:t>
            </w:r>
          </w:p>
        </w:tc>
        <w:tc>
          <w:tcPr>
            <w:tcW w:type="dxa" w:w="3816"/>
            <w:shd w:fill="17365D"/>
            <w:tcMar>
              <w:top w:w="90" w:type="dxa"/>
              <w:start w:w="120" w:type="dxa"/>
              <w:bottom w:w="90" w:type="dxa"/>
              <w:end w:w="120" w:type="dxa"/>
            </w:tcMar>
            <w:vAlign w:val="center"/>
          </w:tcPr>
          <w:p>
            <w:pPr>
              <w:widowControl/>
              <w:jc w:val="left"/>
            </w:pPr>
            <w:r>
              <w:rPr>
                <w:rFonts w:ascii="Calibri" w:hAnsi="Calibri"/>
                <w:b/>
                <w:color w:val="FFFFFF"/>
                <w:sz w:val="17"/>
              </w:rPr>
              <w:t>Approved conclusion</w:t>
            </w:r>
          </w:p>
        </w:tc>
        <w:tc>
          <w:tcPr>
            <w:tcW w:type="dxa" w:w="2822"/>
            <w:shd w:fill="17365D"/>
            <w:tcMar>
              <w:top w:w="90" w:type="dxa"/>
              <w:start w:w="120" w:type="dxa"/>
              <w:bottom w:w="90" w:type="dxa"/>
              <w:end w:w="120" w:type="dxa"/>
            </w:tcMar>
            <w:vAlign w:val="center"/>
          </w:tcPr>
          <w:p>
            <w:pPr>
              <w:widowControl/>
              <w:jc w:val="left"/>
            </w:pPr>
            <w:r>
              <w:rPr>
                <w:rFonts w:ascii="Calibri" w:hAnsi="Calibri"/>
                <w:b/>
                <w:color w:val="FFFFFF"/>
                <w:sz w:val="17"/>
              </w:rPr>
              <w:t>Evidence / review trigger</w:t>
            </w:r>
          </w:p>
        </w:tc>
      </w:tr>
      <w:tr>
        <w:trPr>
          <w:cantSplit/>
        </w:trPr>
        <w:tc>
          <w:tcPr>
            <w:tcW w:type="dxa" w:w="3240"/>
            <w:tcMar>
              <w:top w:w="90" w:type="dxa"/>
              <w:start w:w="120" w:type="dxa"/>
              <w:bottom w:w="90" w:type="dxa"/>
              <w:end w:w="120" w:type="dxa"/>
            </w:tcMar>
            <w:vAlign w:val="center"/>
          </w:tcPr>
          <w:p>
            <w:pPr>
              <w:widowControl/>
              <w:spacing w:after="0"/>
            </w:pPr>
            <w:r>
              <w:rPr>
                <w:rFonts w:ascii="Calibri" w:hAnsi="Calibri"/>
                <w:sz w:val="17"/>
              </w:rPr>
              <w:t>Is the firm an investment firm within DORA?</w:t>
            </w:r>
          </w:p>
        </w:tc>
        <w:tc>
          <w:tcPr>
            <w:tcW w:type="dxa" w:w="3816"/>
            <w:tcMar>
              <w:top w:w="90" w:type="dxa"/>
              <w:start w:w="120" w:type="dxa"/>
              <w:bottom w:w="90" w:type="dxa"/>
              <w:end w:w="120" w:type="dxa"/>
            </w:tcMar>
            <w:vAlign w:val="center"/>
          </w:tcPr>
          <w:p>
            <w:pPr>
              <w:widowControl/>
              <w:spacing w:after="0"/>
            </w:pPr>
            <w:r>
              <w:rPr>
                <w:rFonts w:ascii="Calibri" w:hAnsi="Calibri"/>
                <w:sz w:val="17"/>
              </w:rPr>
              <w:t>[YES / NO — RATIONALE]</w:t>
            </w:r>
          </w:p>
        </w:tc>
        <w:tc>
          <w:tcPr>
            <w:tcW w:type="dxa" w:w="2822"/>
            <w:tcMar>
              <w:top w:w="90" w:type="dxa"/>
              <w:start w:w="120" w:type="dxa"/>
              <w:bottom w:w="90" w:type="dxa"/>
              <w:end w:w="120" w:type="dxa"/>
            </w:tcMar>
            <w:vAlign w:val="center"/>
          </w:tcPr>
          <w:p>
            <w:pPr>
              <w:widowControl/>
              <w:spacing w:after="0"/>
            </w:pPr>
            <w:r>
              <w:rPr>
                <w:rFonts w:ascii="Calibri" w:hAnsi="Calibri"/>
                <w:sz w:val="17"/>
              </w:rPr>
              <w:t>[LICENCE / APPLICATION / LEGAL ANALYSIS]</w:t>
            </w:r>
          </w:p>
        </w:tc>
      </w:tr>
      <w:tr>
        <w:trPr>
          <w:cantSplit/>
        </w:trPr>
        <w:tc>
          <w:tcPr>
            <w:tcW w:type="dxa" w:w="3240"/>
            <w:tcMar>
              <w:top w:w="90" w:type="dxa"/>
              <w:start w:w="120" w:type="dxa"/>
              <w:bottom w:w="90" w:type="dxa"/>
              <w:end w:w="120" w:type="dxa"/>
            </w:tcMar>
            <w:vAlign w:val="center"/>
            <w:shd w:fill="F8FAFC"/>
          </w:tcPr>
          <w:p>
            <w:pPr>
              <w:widowControl/>
              <w:spacing w:after="0"/>
            </w:pPr>
            <w:r>
              <w:rPr>
                <w:rFonts w:ascii="Calibri" w:hAnsi="Calibri"/>
                <w:sz w:val="17"/>
              </w:rPr>
              <w:t>Does it meet every Article 12(1) IFR SNI condition?</w:t>
            </w:r>
          </w:p>
        </w:tc>
        <w:tc>
          <w:tcPr>
            <w:tcW w:type="dxa" w:w="3816"/>
            <w:tcMar>
              <w:top w:w="90" w:type="dxa"/>
              <w:start w:w="120" w:type="dxa"/>
              <w:bottom w:w="90" w:type="dxa"/>
              <w:end w:w="120" w:type="dxa"/>
            </w:tcMar>
            <w:vAlign w:val="center"/>
            <w:shd w:fill="F8FAFC"/>
          </w:tcPr>
          <w:p>
            <w:pPr>
              <w:widowControl/>
              <w:spacing w:after="0"/>
            </w:pPr>
            <w:r>
              <w:rPr>
                <w:rFonts w:ascii="Calibri" w:hAnsi="Calibri"/>
                <w:sz w:val="17"/>
              </w:rPr>
              <w:t>[YES / NO — RATIONALE]</w:t>
            </w:r>
          </w:p>
        </w:tc>
        <w:tc>
          <w:tcPr>
            <w:tcW w:type="dxa" w:w="2822"/>
            <w:tcMar>
              <w:top w:w="90" w:type="dxa"/>
              <w:start w:w="120" w:type="dxa"/>
              <w:bottom w:w="90" w:type="dxa"/>
              <w:end w:w="120" w:type="dxa"/>
            </w:tcMar>
            <w:vAlign w:val="center"/>
            <w:shd w:fill="F8FAFC"/>
          </w:tcPr>
          <w:p>
            <w:pPr>
              <w:widowControl/>
              <w:spacing w:after="0"/>
            </w:pPr>
            <w:r>
              <w:rPr>
                <w:rFonts w:ascii="Calibri" w:hAnsi="Calibri"/>
                <w:sz w:val="17"/>
              </w:rPr>
              <w:t>[PRUDENTIAL CALCULATION / PROJECTIONS]</w:t>
            </w:r>
          </w:p>
        </w:tc>
      </w:tr>
      <w:tr>
        <w:trPr>
          <w:cantSplit/>
        </w:trPr>
        <w:tc>
          <w:tcPr>
            <w:tcW w:type="dxa" w:w="3240"/>
            <w:tcMar>
              <w:top w:w="90" w:type="dxa"/>
              <w:start w:w="120" w:type="dxa"/>
              <w:bottom w:w="90" w:type="dxa"/>
              <w:end w:w="120" w:type="dxa"/>
            </w:tcMar>
            <w:vAlign w:val="center"/>
          </w:tcPr>
          <w:p>
            <w:pPr>
              <w:widowControl/>
              <w:spacing w:after="0"/>
            </w:pPr>
            <w:r>
              <w:rPr>
                <w:rFonts w:ascii="Calibri" w:hAnsi="Calibri"/>
                <w:sz w:val="17"/>
              </w:rPr>
              <w:t>Does Article 16 DORA therefore apply?</w:t>
            </w:r>
          </w:p>
        </w:tc>
        <w:tc>
          <w:tcPr>
            <w:tcW w:type="dxa" w:w="3816"/>
            <w:tcMar>
              <w:top w:w="90" w:type="dxa"/>
              <w:start w:w="120" w:type="dxa"/>
              <w:bottom w:w="90" w:type="dxa"/>
              <w:end w:w="120" w:type="dxa"/>
            </w:tcMar>
            <w:vAlign w:val="center"/>
          </w:tcPr>
          <w:p>
            <w:pPr>
              <w:widowControl/>
              <w:spacing w:after="0"/>
            </w:pPr>
            <w:r>
              <w:rPr>
                <w:rFonts w:ascii="Calibri" w:hAnsi="Calibri"/>
                <w:sz w:val="17"/>
              </w:rPr>
              <w:t>[YES / NO]</w:t>
            </w:r>
          </w:p>
        </w:tc>
        <w:tc>
          <w:tcPr>
            <w:tcW w:type="dxa" w:w="2822"/>
            <w:tcMar>
              <w:top w:w="90" w:type="dxa"/>
              <w:start w:w="120" w:type="dxa"/>
              <w:bottom w:w="90" w:type="dxa"/>
              <w:end w:w="120" w:type="dxa"/>
            </w:tcMar>
            <w:vAlign w:val="center"/>
          </w:tcPr>
          <w:p>
            <w:pPr>
              <w:widowControl/>
              <w:spacing w:after="0"/>
            </w:pPr>
            <w:r>
              <w:rPr>
                <w:rFonts w:ascii="Calibri" w:hAnsi="Calibri"/>
                <w:sz w:val="17"/>
              </w:rPr>
              <w:t>[LEGAL MEMORANDUM / BOARD PAPER]</w:t>
            </w:r>
          </w:p>
        </w:tc>
      </w:tr>
      <w:tr>
        <w:trPr>
          <w:cantSplit/>
        </w:trPr>
        <w:tc>
          <w:tcPr>
            <w:tcW w:type="dxa" w:w="3240"/>
            <w:tcMar>
              <w:top w:w="90" w:type="dxa"/>
              <w:start w:w="120" w:type="dxa"/>
              <w:bottom w:w="90" w:type="dxa"/>
              <w:end w:w="120" w:type="dxa"/>
            </w:tcMar>
            <w:vAlign w:val="center"/>
            <w:shd w:fill="F8FAFC"/>
          </w:tcPr>
          <w:p>
            <w:pPr>
              <w:widowControl/>
              <w:spacing w:after="0"/>
            </w:pPr>
            <w:r>
              <w:rPr>
                <w:rFonts w:ascii="Calibri" w:hAnsi="Calibri"/>
                <w:sz w:val="17"/>
              </w:rPr>
              <w:t>Is the firm also a DORA microenterprise?</w:t>
            </w:r>
          </w:p>
        </w:tc>
        <w:tc>
          <w:tcPr>
            <w:tcW w:type="dxa" w:w="3816"/>
            <w:tcMar>
              <w:top w:w="90" w:type="dxa"/>
              <w:start w:w="120" w:type="dxa"/>
              <w:bottom w:w="90" w:type="dxa"/>
              <w:end w:w="120" w:type="dxa"/>
            </w:tcMar>
            <w:vAlign w:val="center"/>
            <w:shd w:fill="F8FAFC"/>
          </w:tcPr>
          <w:p>
            <w:pPr>
              <w:widowControl/>
              <w:spacing w:after="0"/>
            </w:pPr>
            <w:r>
              <w:rPr>
                <w:rFonts w:ascii="Calibri" w:hAnsi="Calibri"/>
                <w:sz w:val="17"/>
              </w:rPr>
              <w:t>[YES / NO / TBC]</w:t>
            </w:r>
          </w:p>
        </w:tc>
        <w:tc>
          <w:tcPr>
            <w:tcW w:type="dxa" w:w="2822"/>
            <w:tcMar>
              <w:top w:w="90" w:type="dxa"/>
              <w:start w:w="120" w:type="dxa"/>
              <w:bottom w:w="90" w:type="dxa"/>
              <w:end w:w="120" w:type="dxa"/>
            </w:tcMar>
            <w:vAlign w:val="center"/>
            <w:shd w:fill="F8FAFC"/>
          </w:tcPr>
          <w:p>
            <w:pPr>
              <w:widowControl/>
              <w:spacing w:after="0"/>
            </w:pPr>
            <w:r>
              <w:rPr>
                <w:rFonts w:ascii="Calibri" w:hAnsi="Calibri"/>
                <w:sz w:val="17"/>
              </w:rPr>
              <w:t>[HEADCOUNT, TURNOVER AND BALANCE-SHEET DATA]</w:t>
            </w:r>
          </w:p>
        </w:tc>
      </w:tr>
      <w:tr>
        <w:trPr>
          <w:cantSplit/>
        </w:trPr>
        <w:tc>
          <w:tcPr>
            <w:tcW w:type="dxa" w:w="3240"/>
            <w:tcMar>
              <w:top w:w="90" w:type="dxa"/>
              <w:start w:w="120" w:type="dxa"/>
              <w:bottom w:w="90" w:type="dxa"/>
              <w:end w:w="120" w:type="dxa"/>
            </w:tcMar>
            <w:vAlign w:val="center"/>
          </w:tcPr>
          <w:p>
            <w:pPr>
              <w:widowControl/>
              <w:spacing w:after="0"/>
            </w:pPr>
            <w:r>
              <w:rPr>
                <w:rFonts w:ascii="Calibri" w:hAnsi="Calibri"/>
                <w:sz w:val="17"/>
              </w:rPr>
              <w:t>Competent authority</w:t>
            </w:r>
          </w:p>
        </w:tc>
        <w:tc>
          <w:tcPr>
            <w:tcW w:type="dxa" w:w="3816"/>
            <w:tcMar>
              <w:top w:w="90" w:type="dxa"/>
              <w:start w:w="120" w:type="dxa"/>
              <w:bottom w:w="90" w:type="dxa"/>
              <w:end w:w="120" w:type="dxa"/>
            </w:tcMar>
            <w:vAlign w:val="center"/>
          </w:tcPr>
          <w:p>
            <w:pPr>
              <w:widowControl/>
              <w:spacing w:after="0"/>
            </w:pPr>
            <w:r>
              <w:rPr>
                <w:rFonts w:ascii="Calibri" w:hAnsi="Calibri"/>
                <w:sz w:val="17"/>
              </w:rPr>
              <w:t>[CENTRAL BANK OF ICELAND / CONFIRM]</w:t>
            </w:r>
          </w:p>
        </w:tc>
        <w:tc>
          <w:tcPr>
            <w:tcW w:type="dxa" w:w="2822"/>
            <w:tcMar>
              <w:top w:w="90" w:type="dxa"/>
              <w:start w:w="120" w:type="dxa"/>
              <w:bottom w:w="90" w:type="dxa"/>
              <w:end w:w="120" w:type="dxa"/>
            </w:tcMar>
            <w:vAlign w:val="center"/>
          </w:tcPr>
          <w:p>
            <w:pPr>
              <w:widowControl/>
              <w:spacing w:after="0"/>
            </w:pPr>
            <w:r>
              <w:rPr>
                <w:rFonts w:ascii="Calibri" w:hAnsi="Calibri"/>
                <w:sz w:val="17"/>
              </w:rPr>
              <w:t>[LEGAL BASIS]</w:t>
            </w:r>
          </w:p>
        </w:tc>
      </w:tr>
    </w:tbl>
    <w:p>
      <w:pPr>
        <w:widowControl/>
        <w:spacing w:after="0"/>
      </w:pPr>
    </w:p>
    <w:p>
      <w:pPr>
        <w:pStyle w:val="Heading2"/>
        <w:widowControl/>
      </w:pPr>
      <w:r>
        <w:t>3.2 Business and ICT profile</w:t>
      </w:r>
    </w:p>
    <w:tbl>
      <w:tblPr>
        <w:tblStyle w:val="TableGrid"/>
        <w:tblW w:type="auto" w:w="0"/>
        <w:jc w:val="center"/>
        <w:tblLayout w:type="fixed"/>
        <w:tblLook w:firstColumn="1" w:firstRow="1" w:lastColumn="0" w:lastRow="0" w:noHBand="0" w:noVBand="1" w:val="04A0"/>
      </w:tblPr>
      <w:tblGrid>
        <w:gridCol w:w="3096"/>
        <w:gridCol w:w="6782"/>
      </w:tblGrid>
      <w:tr>
        <w:trPr>
          <w:tblHeader w:val="true"/>
        </w:trPr>
        <w:tc>
          <w:tcPr>
            <w:tcW w:type="dxa" w:w="3096"/>
            <w:shd w:fill="17365D"/>
            <w:tcMar>
              <w:top w:w="90" w:type="dxa"/>
              <w:start w:w="120" w:type="dxa"/>
              <w:bottom w:w="90" w:type="dxa"/>
              <w:end w:w="120" w:type="dxa"/>
            </w:tcMar>
            <w:vAlign w:val="center"/>
          </w:tcPr>
          <w:p>
            <w:pPr>
              <w:widowControl/>
              <w:jc w:val="left"/>
            </w:pPr>
            <w:r>
              <w:rPr>
                <w:rFonts w:ascii="Calibri" w:hAnsi="Calibri"/>
                <w:b/>
                <w:color w:val="FFFFFF"/>
                <w:sz w:val="17"/>
              </w:rPr>
              <w:t>Factor</w:t>
            </w:r>
          </w:p>
        </w:tc>
        <w:tc>
          <w:tcPr>
            <w:tcW w:type="dxa" w:w="6782"/>
            <w:shd w:fill="17365D"/>
            <w:tcMar>
              <w:top w:w="90" w:type="dxa"/>
              <w:start w:w="120" w:type="dxa"/>
              <w:bottom w:w="90" w:type="dxa"/>
              <w:end w:w="120" w:type="dxa"/>
            </w:tcMar>
            <w:vAlign w:val="center"/>
          </w:tcPr>
          <w:p>
            <w:pPr>
              <w:widowControl/>
              <w:jc w:val="left"/>
            </w:pPr>
            <w:r>
              <w:rPr>
                <w:rFonts w:ascii="Calibri" w:hAnsi="Calibri"/>
                <w:b/>
                <w:color w:val="FFFFFF"/>
                <w:sz w:val="17"/>
              </w:rPr>
              <w:t>Entity-specific description</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b/>
                <w:color w:val="1F4D78"/>
                <w:sz w:val="17"/>
              </w:rPr>
              <w:t>Investment services and ancillary services</w:t>
            </w:r>
          </w:p>
        </w:tc>
        <w:tc>
          <w:tcPr>
            <w:tcW w:type="dxa" w:w="6782"/>
            <w:tcMar>
              <w:top w:w="90" w:type="dxa"/>
              <w:start w:w="120" w:type="dxa"/>
              <w:bottom w:w="90" w:type="dxa"/>
              <w:end w:w="120" w:type="dxa"/>
            </w:tcMar>
            <w:vAlign w:val="center"/>
          </w:tcPr>
          <w:p>
            <w:pPr>
              <w:widowControl/>
              <w:spacing w:after="0"/>
            </w:pPr>
            <w:r>
              <w:rPr>
                <w:rFonts w:ascii="Calibri" w:hAnsi="Calibri"/>
                <w:sz w:val="17"/>
              </w:rPr>
              <w:t>[DESCRIBE LICENCE PERMISSIONS AND DELIVERY MODEL]</w:t>
            </w:r>
          </w:p>
        </w:tc>
      </w:tr>
      <w:tr>
        <w:trPr>
          <w:cantSplit/>
        </w:trPr>
        <w:tc>
          <w:tcPr>
            <w:tcW w:type="dxa" w:w="3096"/>
            <w:tcMar>
              <w:top w:w="90" w:type="dxa"/>
              <w:start w:w="120" w:type="dxa"/>
              <w:bottom w:w="90" w:type="dxa"/>
              <w:end w:w="120" w:type="dxa"/>
            </w:tcMar>
            <w:vAlign w:val="center"/>
            <w:shd w:fill="F8FAFC"/>
          </w:tcPr>
          <w:p>
            <w:pPr>
              <w:widowControl/>
              <w:spacing w:after="0"/>
            </w:pPr>
            <w:r>
              <w:rPr>
                <w:rFonts w:ascii="Calibri" w:hAnsi="Calibri"/>
                <w:b/>
                <w:color w:val="1F4D78"/>
                <w:sz w:val="17"/>
              </w:rPr>
              <w:t>Clients, products and channels</w:t>
            </w:r>
          </w:p>
        </w:tc>
        <w:tc>
          <w:tcPr>
            <w:tcW w:type="dxa" w:w="6782"/>
            <w:tcMar>
              <w:top w:w="90" w:type="dxa"/>
              <w:start w:w="120" w:type="dxa"/>
              <w:bottom w:w="90" w:type="dxa"/>
              <w:end w:w="120" w:type="dxa"/>
            </w:tcMar>
            <w:vAlign w:val="center"/>
            <w:shd w:fill="F8FAFC"/>
          </w:tcPr>
          <w:p>
            <w:pPr>
              <w:widowControl/>
              <w:spacing w:after="0"/>
            </w:pPr>
            <w:r>
              <w:rPr>
                <w:rFonts w:ascii="Calibri" w:hAnsi="Calibri"/>
                <w:sz w:val="17"/>
              </w:rPr>
              <w:t>[DESCRIBE CLIENT TYPES, GEOGRAPHY AND DIGITAL CHANNELS]</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b/>
                <w:color w:val="1F4D78"/>
                <w:sz w:val="17"/>
              </w:rPr>
              <w:t>Client money / custody / order handling</w:t>
            </w:r>
          </w:p>
        </w:tc>
        <w:tc>
          <w:tcPr>
            <w:tcW w:type="dxa" w:w="6782"/>
            <w:tcMar>
              <w:top w:w="90" w:type="dxa"/>
              <w:start w:w="120" w:type="dxa"/>
              <w:bottom w:w="90" w:type="dxa"/>
              <w:end w:w="120" w:type="dxa"/>
            </w:tcMar>
            <w:vAlign w:val="center"/>
          </w:tcPr>
          <w:p>
            <w:pPr>
              <w:widowControl/>
              <w:spacing w:after="0"/>
            </w:pPr>
            <w:r>
              <w:rPr>
                <w:rFonts w:ascii="Calibri" w:hAnsi="Calibri"/>
                <w:sz w:val="17"/>
              </w:rPr>
              <w:t>[DESCRIBE OR STATE NOT APPLICABLE]</w:t>
            </w:r>
          </w:p>
        </w:tc>
      </w:tr>
      <w:tr>
        <w:trPr>
          <w:cantSplit/>
        </w:trPr>
        <w:tc>
          <w:tcPr>
            <w:tcW w:type="dxa" w:w="3096"/>
            <w:tcMar>
              <w:top w:w="90" w:type="dxa"/>
              <w:start w:w="120" w:type="dxa"/>
              <w:bottom w:w="90" w:type="dxa"/>
              <w:end w:w="120" w:type="dxa"/>
            </w:tcMar>
            <w:vAlign w:val="center"/>
            <w:shd w:fill="F8FAFC"/>
          </w:tcPr>
          <w:p>
            <w:pPr>
              <w:widowControl/>
              <w:spacing w:after="0"/>
            </w:pPr>
            <w:r>
              <w:rPr>
                <w:rFonts w:ascii="Calibri" w:hAnsi="Calibri"/>
                <w:b/>
                <w:color w:val="1F4D78"/>
                <w:sz w:val="17"/>
              </w:rPr>
              <w:t>Headcount and governance</w:t>
            </w:r>
          </w:p>
        </w:tc>
        <w:tc>
          <w:tcPr>
            <w:tcW w:type="dxa" w:w="6782"/>
            <w:tcMar>
              <w:top w:w="90" w:type="dxa"/>
              <w:start w:w="120" w:type="dxa"/>
              <w:bottom w:w="90" w:type="dxa"/>
              <w:end w:w="120" w:type="dxa"/>
            </w:tcMar>
            <w:vAlign w:val="center"/>
            <w:shd w:fill="F8FAFC"/>
          </w:tcPr>
          <w:p>
            <w:pPr>
              <w:widowControl/>
              <w:spacing w:after="0"/>
            </w:pPr>
            <w:r>
              <w:rPr>
                <w:rFonts w:ascii="Calibri" w:hAnsi="Calibri"/>
                <w:sz w:val="17"/>
              </w:rPr>
              <w:t>[DESCRIBE BOARD, MANAGEMENT, CONTROL FUNCTIONS AND STAFFING]</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b/>
                <w:color w:val="1F4D78"/>
                <w:sz w:val="17"/>
              </w:rPr>
              <w:t>Critical or important functions</w:t>
            </w:r>
          </w:p>
        </w:tc>
        <w:tc>
          <w:tcPr>
            <w:tcW w:type="dxa" w:w="6782"/>
            <w:tcMar>
              <w:top w:w="90" w:type="dxa"/>
              <w:start w:w="120" w:type="dxa"/>
              <w:bottom w:w="90" w:type="dxa"/>
              <w:end w:w="120" w:type="dxa"/>
            </w:tcMar>
            <w:vAlign w:val="center"/>
          </w:tcPr>
          <w:p>
            <w:pPr>
              <w:widowControl/>
              <w:spacing w:after="0"/>
            </w:pPr>
            <w:r>
              <w:rPr>
                <w:rFonts w:ascii="Calibri" w:hAnsi="Calibri"/>
                <w:sz w:val="17"/>
              </w:rPr>
              <w:t>[LIST OR CROSS-REFER D04]</w:t>
            </w:r>
          </w:p>
        </w:tc>
      </w:tr>
      <w:tr>
        <w:trPr>
          <w:cantSplit/>
        </w:trPr>
        <w:tc>
          <w:tcPr>
            <w:tcW w:type="dxa" w:w="3096"/>
            <w:tcMar>
              <w:top w:w="90" w:type="dxa"/>
              <w:start w:w="120" w:type="dxa"/>
              <w:bottom w:w="90" w:type="dxa"/>
              <w:end w:w="120" w:type="dxa"/>
            </w:tcMar>
            <w:vAlign w:val="center"/>
            <w:shd w:fill="F8FAFC"/>
          </w:tcPr>
          <w:p>
            <w:pPr>
              <w:widowControl/>
              <w:spacing w:after="0"/>
            </w:pPr>
            <w:r>
              <w:rPr>
                <w:rFonts w:ascii="Calibri" w:hAnsi="Calibri"/>
                <w:b/>
                <w:color w:val="1F4D78"/>
                <w:sz w:val="17"/>
              </w:rPr>
              <w:t>Core ICT architecture</w:t>
            </w:r>
          </w:p>
        </w:tc>
        <w:tc>
          <w:tcPr>
            <w:tcW w:type="dxa" w:w="6782"/>
            <w:tcMar>
              <w:top w:w="90" w:type="dxa"/>
              <w:start w:w="120" w:type="dxa"/>
              <w:bottom w:w="90" w:type="dxa"/>
              <w:end w:w="120" w:type="dxa"/>
            </w:tcMar>
            <w:vAlign w:val="center"/>
            <w:shd w:fill="F8FAFC"/>
          </w:tcPr>
          <w:p>
            <w:pPr>
              <w:widowControl/>
              <w:spacing w:after="0"/>
            </w:pPr>
            <w:r>
              <w:rPr>
                <w:rFonts w:ascii="Calibri" w:hAnsi="Calibri"/>
                <w:sz w:val="17"/>
              </w:rPr>
              <w:t>[SUMMARISE ENDPOINTS, NETWORK, CLOUD, APPLICATIONS AND DATA FLOWS]</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b/>
                <w:color w:val="1F4D78"/>
                <w:sz w:val="17"/>
              </w:rPr>
              <w:t>Key ICT third-party dependencies</w:t>
            </w:r>
          </w:p>
        </w:tc>
        <w:tc>
          <w:tcPr>
            <w:tcW w:type="dxa" w:w="6782"/>
            <w:tcMar>
              <w:top w:w="90" w:type="dxa"/>
              <w:start w:w="120" w:type="dxa"/>
              <w:bottom w:w="90" w:type="dxa"/>
              <w:end w:w="120" w:type="dxa"/>
            </w:tcMar>
            <w:vAlign w:val="center"/>
          </w:tcPr>
          <w:p>
            <w:pPr>
              <w:widowControl/>
              <w:spacing w:after="0"/>
            </w:pPr>
            <w:r>
              <w:rPr>
                <w:rFonts w:ascii="Calibri" w:hAnsi="Calibri"/>
                <w:sz w:val="17"/>
              </w:rPr>
              <w:t>[LIST OR CROSS-REFER D04 / D10 / D11]</w:t>
            </w:r>
          </w:p>
        </w:tc>
      </w:tr>
      <w:tr>
        <w:trPr>
          <w:cantSplit/>
        </w:trPr>
        <w:tc>
          <w:tcPr>
            <w:tcW w:type="dxa" w:w="3096"/>
            <w:tcMar>
              <w:top w:w="90" w:type="dxa"/>
              <w:start w:w="120" w:type="dxa"/>
              <w:bottom w:w="90" w:type="dxa"/>
              <w:end w:w="120" w:type="dxa"/>
            </w:tcMar>
            <w:vAlign w:val="center"/>
            <w:shd w:fill="F8FAFC"/>
          </w:tcPr>
          <w:p>
            <w:pPr>
              <w:widowControl/>
              <w:spacing w:after="0"/>
            </w:pPr>
            <w:r>
              <w:rPr>
                <w:rFonts w:ascii="Calibri" w:hAnsi="Calibri"/>
                <w:b/>
                <w:color w:val="1F4D78"/>
                <w:sz w:val="17"/>
              </w:rPr>
              <w:t>Threat and vulnerability profile</w:t>
            </w:r>
          </w:p>
        </w:tc>
        <w:tc>
          <w:tcPr>
            <w:tcW w:type="dxa" w:w="6782"/>
            <w:tcMar>
              <w:top w:w="90" w:type="dxa"/>
              <w:start w:w="120" w:type="dxa"/>
              <w:bottom w:w="90" w:type="dxa"/>
              <w:end w:w="120" w:type="dxa"/>
            </w:tcMar>
            <w:vAlign w:val="center"/>
            <w:shd w:fill="F8FAFC"/>
          </w:tcPr>
          <w:p>
            <w:pPr>
              <w:widowControl/>
              <w:spacing w:after="0"/>
            </w:pPr>
            <w:r>
              <w:rPr>
                <w:rFonts w:ascii="Calibri" w:hAnsi="Calibri"/>
                <w:sz w:val="17"/>
              </w:rPr>
              <w:t>[SUMMARISE MATERIAL THREATS, EXPOSURES AND CONTROL ENVIRONMENT]</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b/>
                <w:color w:val="1F4D78"/>
                <w:sz w:val="17"/>
              </w:rPr>
              <w:t>Impact of severe ICT disruption</w:t>
            </w:r>
          </w:p>
        </w:tc>
        <w:tc>
          <w:tcPr>
            <w:tcW w:type="dxa" w:w="6782"/>
            <w:tcMar>
              <w:top w:w="90" w:type="dxa"/>
              <w:start w:w="120" w:type="dxa"/>
              <w:bottom w:w="90" w:type="dxa"/>
              <w:end w:w="120" w:type="dxa"/>
            </w:tcMar>
            <w:vAlign w:val="center"/>
          </w:tcPr>
          <w:p>
            <w:pPr>
              <w:widowControl/>
              <w:spacing w:after="0"/>
            </w:pPr>
            <w:r>
              <w:rPr>
                <w:rFonts w:ascii="Calibri" w:hAnsi="Calibri"/>
                <w:sz w:val="17"/>
              </w:rPr>
              <w:t>[SUMMARISE CLIENT, REGULATORY, FINANCIAL AND OPERATIONAL IMPACT]</w:t>
            </w:r>
          </w:p>
        </w:tc>
      </w:tr>
    </w:tbl>
    <w:p>
      <w:pPr>
        <w:widowControl/>
        <w:spacing w:after="0"/>
      </w:pPr>
    </w:p>
    <w:p>
      <w:pPr>
        <w:pStyle w:val="Heading2"/>
        <w:widowControl/>
      </w:pPr>
      <w:r>
        <w:t>3.3 Proportionality determination</w:t>
      </w:r>
    </w:p>
    <w:p>
      <w:pPr>
        <w:widowControl/>
      </w:pPr>
      <w:r>
        <w:t>The firm shall implement this Framework in a manner proportionate to its size and overall ICT risk profile and to the nature, scale and complexity of its services, activities and operations. Proportionality may affect the formality, depth, frequency and resourcing of controls, but shall not be used to omit a requirement that applies to the firm or to accept a risk outside approved tolerance without formal escalation.</w:t>
      </w:r>
    </w:p>
    <w:tbl>
      <w:tblPr>
        <w:tblStyle w:val="TableGrid"/>
        <w:tblW w:type="auto" w:w="0"/>
        <w:jc w:val="center"/>
        <w:tblLayout w:type="fixed"/>
        <w:tblLook w:firstColumn="1" w:firstRow="1" w:lastColumn="0" w:lastRow="0" w:noHBand="0" w:noVBand="1" w:val="04A0"/>
      </w:tblPr>
      <w:tblGrid>
        <w:gridCol w:w="2376"/>
        <w:gridCol w:w="3456"/>
        <w:gridCol w:w="4046"/>
      </w:tblGrid>
      <w:tr>
        <w:trPr>
          <w:tblHeader w:val="true"/>
        </w:trPr>
        <w:tc>
          <w:tcPr>
            <w:tcW w:type="dxa" w:w="2376"/>
            <w:shd w:fill="17365D"/>
            <w:tcMar>
              <w:top w:w="90" w:type="dxa"/>
              <w:start w:w="120" w:type="dxa"/>
              <w:bottom w:w="90" w:type="dxa"/>
              <w:end w:w="120" w:type="dxa"/>
            </w:tcMar>
            <w:vAlign w:val="center"/>
          </w:tcPr>
          <w:p>
            <w:pPr>
              <w:widowControl/>
              <w:jc w:val="left"/>
            </w:pPr>
            <w:r>
              <w:rPr>
                <w:rFonts w:ascii="Calibri" w:hAnsi="Calibri"/>
                <w:b/>
                <w:color w:val="FFFFFF"/>
                <w:sz w:val="16"/>
              </w:rPr>
              <w:t>Dimension</w:t>
            </w:r>
          </w:p>
        </w:tc>
        <w:tc>
          <w:tcPr>
            <w:tcW w:type="dxa" w:w="3456"/>
            <w:shd w:fill="17365D"/>
            <w:tcMar>
              <w:top w:w="90" w:type="dxa"/>
              <w:start w:w="120" w:type="dxa"/>
              <w:bottom w:w="90" w:type="dxa"/>
              <w:end w:w="120" w:type="dxa"/>
            </w:tcMar>
            <w:vAlign w:val="center"/>
          </w:tcPr>
          <w:p>
            <w:pPr>
              <w:widowControl/>
              <w:jc w:val="left"/>
            </w:pPr>
            <w:r>
              <w:rPr>
                <w:rFonts w:ascii="Calibri" w:hAnsi="Calibri"/>
                <w:b/>
                <w:color w:val="FFFFFF"/>
                <w:sz w:val="16"/>
              </w:rPr>
              <w:t>Assessment</w:t>
            </w:r>
          </w:p>
        </w:tc>
        <w:tc>
          <w:tcPr>
            <w:tcW w:type="dxa" w:w="4046"/>
            <w:shd w:fill="17365D"/>
            <w:tcMar>
              <w:top w:w="90" w:type="dxa"/>
              <w:start w:w="120" w:type="dxa"/>
              <w:bottom w:w="90" w:type="dxa"/>
              <w:end w:w="120" w:type="dxa"/>
            </w:tcMar>
            <w:vAlign w:val="center"/>
          </w:tcPr>
          <w:p>
            <w:pPr>
              <w:widowControl/>
              <w:jc w:val="left"/>
            </w:pPr>
            <w:r>
              <w:rPr>
                <w:rFonts w:ascii="Calibri" w:hAnsi="Calibri"/>
                <w:b/>
                <w:color w:val="FFFFFF"/>
                <w:sz w:val="16"/>
              </w:rPr>
              <w:t>Design consequence</w:t>
            </w:r>
          </w:p>
        </w:tc>
      </w:tr>
      <w:tr>
        <w:trPr>
          <w:cantSplit/>
        </w:trPr>
        <w:tc>
          <w:tcPr>
            <w:tcW w:type="dxa" w:w="2376"/>
            <w:tcMar>
              <w:top w:w="90" w:type="dxa"/>
              <w:start w:w="120" w:type="dxa"/>
              <w:bottom w:w="90" w:type="dxa"/>
              <w:end w:w="120" w:type="dxa"/>
            </w:tcMar>
            <w:vAlign w:val="center"/>
          </w:tcPr>
          <w:p>
            <w:pPr>
              <w:widowControl/>
              <w:spacing w:after="0"/>
            </w:pPr>
            <w:r>
              <w:rPr>
                <w:rFonts w:ascii="Calibri" w:hAnsi="Calibri"/>
                <w:sz w:val="16"/>
              </w:rPr>
              <w:t>Size and resources</w:t>
            </w:r>
          </w:p>
        </w:tc>
        <w:tc>
          <w:tcPr>
            <w:tcW w:type="dxa" w:w="3456"/>
            <w:tcMar>
              <w:top w:w="90" w:type="dxa"/>
              <w:start w:w="120" w:type="dxa"/>
              <w:bottom w:w="90" w:type="dxa"/>
              <w:end w:w="120" w:type="dxa"/>
            </w:tcMar>
            <w:vAlign w:val="center"/>
          </w:tcPr>
          <w:p>
            <w:pPr>
              <w:widowControl/>
              <w:spacing w:after="0"/>
            </w:pPr>
            <w:r>
              <w:rPr>
                <w:rFonts w:ascii="Calibri" w:hAnsi="Calibri"/>
                <w:sz w:val="16"/>
              </w:rPr>
              <w:t>[LOW / MEDIUM / HIGH — REASONS]</w:t>
            </w:r>
          </w:p>
        </w:tc>
        <w:tc>
          <w:tcPr>
            <w:tcW w:type="dxa" w:w="4046"/>
            <w:tcMar>
              <w:top w:w="90" w:type="dxa"/>
              <w:start w:w="120" w:type="dxa"/>
              <w:bottom w:w="90" w:type="dxa"/>
              <w:end w:w="120" w:type="dxa"/>
            </w:tcMar>
            <w:vAlign w:val="center"/>
          </w:tcPr>
          <w:p>
            <w:pPr>
              <w:widowControl/>
              <w:spacing w:after="0"/>
            </w:pPr>
            <w:r>
              <w:rPr>
                <w:rFonts w:ascii="Calibri" w:hAnsi="Calibri"/>
                <w:sz w:val="16"/>
              </w:rPr>
              <w:t>[E.G. COMBINED ROLES WITH DOCUMENTED SEGREGATION AND INDEPENDENT ASSURANCE]</w:t>
            </w:r>
          </w:p>
        </w:tc>
      </w:tr>
      <w:tr>
        <w:trPr>
          <w:cantSplit/>
        </w:trPr>
        <w:tc>
          <w:tcPr>
            <w:tcW w:type="dxa" w:w="2376"/>
            <w:tcMar>
              <w:top w:w="90" w:type="dxa"/>
              <w:start w:w="120" w:type="dxa"/>
              <w:bottom w:w="90" w:type="dxa"/>
              <w:end w:w="120" w:type="dxa"/>
            </w:tcMar>
            <w:vAlign w:val="center"/>
            <w:shd w:fill="F8FAFC"/>
          </w:tcPr>
          <w:p>
            <w:pPr>
              <w:widowControl/>
              <w:spacing w:after="0"/>
            </w:pPr>
            <w:r>
              <w:rPr>
                <w:rFonts w:ascii="Calibri" w:hAnsi="Calibri"/>
                <w:sz w:val="16"/>
              </w:rPr>
              <w:t>Business complexity</w:t>
            </w:r>
          </w:p>
        </w:tc>
        <w:tc>
          <w:tcPr>
            <w:tcW w:type="dxa" w:w="3456"/>
            <w:tcMar>
              <w:top w:w="90" w:type="dxa"/>
              <w:start w:w="120" w:type="dxa"/>
              <w:bottom w:w="90" w:type="dxa"/>
              <w:end w:w="120" w:type="dxa"/>
            </w:tcMar>
            <w:vAlign w:val="center"/>
            <w:shd w:fill="F8FAFC"/>
          </w:tcPr>
          <w:p>
            <w:pPr>
              <w:widowControl/>
              <w:spacing w:after="0"/>
            </w:pPr>
            <w:r>
              <w:rPr>
                <w:rFonts w:ascii="Calibri" w:hAnsi="Calibri"/>
                <w:sz w:val="16"/>
              </w:rPr>
              <w:t>[LOW / MEDIUM / HIGH — REASONS]</w:t>
            </w:r>
          </w:p>
        </w:tc>
        <w:tc>
          <w:tcPr>
            <w:tcW w:type="dxa" w:w="4046"/>
            <w:tcMar>
              <w:top w:w="90" w:type="dxa"/>
              <w:start w:w="120" w:type="dxa"/>
              <w:bottom w:w="90" w:type="dxa"/>
              <w:end w:w="120" w:type="dxa"/>
            </w:tcMar>
            <w:vAlign w:val="center"/>
            <w:shd w:fill="F8FAFC"/>
          </w:tcPr>
          <w:p>
            <w:pPr>
              <w:widowControl/>
              <w:spacing w:after="0"/>
            </w:pPr>
            <w:r>
              <w:rPr>
                <w:rFonts w:ascii="Calibri" w:hAnsi="Calibri"/>
                <w:sz w:val="16"/>
              </w:rPr>
              <w:t>[CONTROL DEPTH / CHANGE GOVERNANCE / TESTING]</w:t>
            </w:r>
          </w:p>
        </w:tc>
      </w:tr>
      <w:tr>
        <w:trPr>
          <w:cantSplit/>
        </w:trPr>
        <w:tc>
          <w:tcPr>
            <w:tcW w:type="dxa" w:w="2376"/>
            <w:tcMar>
              <w:top w:w="90" w:type="dxa"/>
              <w:start w:w="120" w:type="dxa"/>
              <w:bottom w:w="90" w:type="dxa"/>
              <w:end w:w="120" w:type="dxa"/>
            </w:tcMar>
            <w:vAlign w:val="center"/>
          </w:tcPr>
          <w:p>
            <w:pPr>
              <w:widowControl/>
              <w:spacing w:after="0"/>
            </w:pPr>
            <w:r>
              <w:rPr>
                <w:rFonts w:ascii="Calibri" w:hAnsi="Calibri"/>
                <w:sz w:val="16"/>
              </w:rPr>
              <w:t>Data sensitivity and volume</w:t>
            </w:r>
          </w:p>
        </w:tc>
        <w:tc>
          <w:tcPr>
            <w:tcW w:type="dxa" w:w="3456"/>
            <w:tcMar>
              <w:top w:w="90" w:type="dxa"/>
              <w:start w:w="120" w:type="dxa"/>
              <w:bottom w:w="90" w:type="dxa"/>
              <w:end w:w="120" w:type="dxa"/>
            </w:tcMar>
            <w:vAlign w:val="center"/>
          </w:tcPr>
          <w:p>
            <w:pPr>
              <w:widowControl/>
              <w:spacing w:after="0"/>
            </w:pPr>
            <w:r>
              <w:rPr>
                <w:rFonts w:ascii="Calibri" w:hAnsi="Calibri"/>
                <w:sz w:val="16"/>
              </w:rPr>
              <w:t>[LOW / MEDIUM / HIGH — REASONS]</w:t>
            </w:r>
          </w:p>
        </w:tc>
        <w:tc>
          <w:tcPr>
            <w:tcW w:type="dxa" w:w="4046"/>
            <w:tcMar>
              <w:top w:w="90" w:type="dxa"/>
              <w:start w:w="120" w:type="dxa"/>
              <w:bottom w:w="90" w:type="dxa"/>
              <w:end w:w="120" w:type="dxa"/>
            </w:tcMar>
            <w:vAlign w:val="center"/>
          </w:tcPr>
          <w:p>
            <w:pPr>
              <w:widowControl/>
              <w:spacing w:after="0"/>
            </w:pPr>
            <w:r>
              <w:rPr>
                <w:rFonts w:ascii="Calibri" w:hAnsi="Calibri"/>
                <w:sz w:val="16"/>
              </w:rPr>
              <w:t>[CLASSIFICATION / ENCRYPTION / MONITORING]</w:t>
            </w:r>
          </w:p>
        </w:tc>
      </w:tr>
      <w:tr>
        <w:trPr>
          <w:cantSplit/>
        </w:trPr>
        <w:tc>
          <w:tcPr>
            <w:tcW w:type="dxa" w:w="2376"/>
            <w:tcMar>
              <w:top w:w="90" w:type="dxa"/>
              <w:start w:w="120" w:type="dxa"/>
              <w:bottom w:w="90" w:type="dxa"/>
              <w:end w:w="120" w:type="dxa"/>
            </w:tcMar>
            <w:vAlign w:val="center"/>
            <w:shd w:fill="F8FAFC"/>
          </w:tcPr>
          <w:p>
            <w:pPr>
              <w:widowControl/>
              <w:spacing w:after="0"/>
            </w:pPr>
            <w:r>
              <w:rPr>
                <w:rFonts w:ascii="Calibri" w:hAnsi="Calibri"/>
                <w:sz w:val="16"/>
              </w:rPr>
              <w:t>Service criticality</w:t>
            </w:r>
          </w:p>
        </w:tc>
        <w:tc>
          <w:tcPr>
            <w:tcW w:type="dxa" w:w="3456"/>
            <w:tcMar>
              <w:top w:w="90" w:type="dxa"/>
              <w:start w:w="120" w:type="dxa"/>
              <w:bottom w:w="90" w:type="dxa"/>
              <w:end w:w="120" w:type="dxa"/>
            </w:tcMar>
            <w:vAlign w:val="center"/>
            <w:shd w:fill="F8FAFC"/>
          </w:tcPr>
          <w:p>
            <w:pPr>
              <w:widowControl/>
              <w:spacing w:after="0"/>
            </w:pPr>
            <w:r>
              <w:rPr>
                <w:rFonts w:ascii="Calibri" w:hAnsi="Calibri"/>
                <w:sz w:val="16"/>
              </w:rPr>
              <w:t>[LOW / MEDIUM / HIGH — REASONS]</w:t>
            </w:r>
          </w:p>
        </w:tc>
        <w:tc>
          <w:tcPr>
            <w:tcW w:type="dxa" w:w="4046"/>
            <w:tcMar>
              <w:top w:w="90" w:type="dxa"/>
              <w:start w:w="120" w:type="dxa"/>
              <w:bottom w:w="90" w:type="dxa"/>
              <w:end w:w="120" w:type="dxa"/>
            </w:tcMar>
            <w:vAlign w:val="center"/>
            <w:shd w:fill="F8FAFC"/>
          </w:tcPr>
          <w:p>
            <w:pPr>
              <w:widowControl/>
              <w:spacing w:after="0"/>
            </w:pPr>
            <w:r>
              <w:rPr>
                <w:rFonts w:ascii="Calibri" w:hAnsi="Calibri"/>
                <w:sz w:val="16"/>
              </w:rPr>
              <w:t>[RTO/RPO / CONTINUITY / TESTING]</w:t>
            </w:r>
          </w:p>
        </w:tc>
      </w:tr>
      <w:tr>
        <w:trPr>
          <w:cantSplit/>
        </w:trPr>
        <w:tc>
          <w:tcPr>
            <w:tcW w:type="dxa" w:w="2376"/>
            <w:tcMar>
              <w:top w:w="90" w:type="dxa"/>
              <w:start w:w="120" w:type="dxa"/>
              <w:bottom w:w="90" w:type="dxa"/>
              <w:end w:w="120" w:type="dxa"/>
            </w:tcMar>
            <w:vAlign w:val="center"/>
          </w:tcPr>
          <w:p>
            <w:pPr>
              <w:widowControl/>
              <w:spacing w:after="0"/>
            </w:pPr>
            <w:r>
              <w:rPr>
                <w:rFonts w:ascii="Calibri" w:hAnsi="Calibri"/>
                <w:sz w:val="16"/>
              </w:rPr>
              <w:t>Third-party dependency</w:t>
            </w:r>
          </w:p>
        </w:tc>
        <w:tc>
          <w:tcPr>
            <w:tcW w:type="dxa" w:w="3456"/>
            <w:tcMar>
              <w:top w:w="90" w:type="dxa"/>
              <w:start w:w="120" w:type="dxa"/>
              <w:bottom w:w="90" w:type="dxa"/>
              <w:end w:w="120" w:type="dxa"/>
            </w:tcMar>
            <w:vAlign w:val="center"/>
          </w:tcPr>
          <w:p>
            <w:pPr>
              <w:widowControl/>
              <w:spacing w:after="0"/>
            </w:pPr>
            <w:r>
              <w:rPr>
                <w:rFonts w:ascii="Calibri" w:hAnsi="Calibri"/>
                <w:sz w:val="16"/>
              </w:rPr>
              <w:t>[LOW / MEDIUM / HIGH — REASONS]</w:t>
            </w:r>
          </w:p>
        </w:tc>
        <w:tc>
          <w:tcPr>
            <w:tcW w:type="dxa" w:w="4046"/>
            <w:tcMar>
              <w:top w:w="90" w:type="dxa"/>
              <w:start w:w="120" w:type="dxa"/>
              <w:bottom w:w="90" w:type="dxa"/>
              <w:end w:w="120" w:type="dxa"/>
            </w:tcMar>
            <w:vAlign w:val="center"/>
          </w:tcPr>
          <w:p>
            <w:pPr>
              <w:widowControl/>
              <w:spacing w:after="0"/>
            </w:pPr>
            <w:r>
              <w:rPr>
                <w:rFonts w:ascii="Calibri" w:hAnsi="Calibri"/>
                <w:sz w:val="16"/>
              </w:rPr>
              <w:t>[DUE DILIGENCE / CONTRACT / EXIT / CONCENTRATION]</w:t>
            </w:r>
          </w:p>
        </w:tc>
      </w:tr>
      <w:tr>
        <w:trPr>
          <w:cantSplit/>
        </w:trPr>
        <w:tc>
          <w:tcPr>
            <w:tcW w:type="dxa" w:w="2376"/>
            <w:tcMar>
              <w:top w:w="90" w:type="dxa"/>
              <w:start w:w="120" w:type="dxa"/>
              <w:bottom w:w="90" w:type="dxa"/>
              <w:end w:w="120" w:type="dxa"/>
            </w:tcMar>
            <w:vAlign w:val="center"/>
            <w:shd w:fill="F8FAFC"/>
          </w:tcPr>
          <w:p>
            <w:pPr>
              <w:widowControl/>
              <w:spacing w:after="0"/>
            </w:pPr>
            <w:r>
              <w:rPr>
                <w:rFonts w:ascii="Calibri" w:hAnsi="Calibri"/>
                <w:sz w:val="16"/>
              </w:rPr>
              <w:t>Threat exposure</w:t>
            </w:r>
          </w:p>
        </w:tc>
        <w:tc>
          <w:tcPr>
            <w:tcW w:type="dxa" w:w="3456"/>
            <w:tcMar>
              <w:top w:w="90" w:type="dxa"/>
              <w:start w:w="120" w:type="dxa"/>
              <w:bottom w:w="90" w:type="dxa"/>
              <w:end w:w="120" w:type="dxa"/>
            </w:tcMar>
            <w:vAlign w:val="center"/>
            <w:shd w:fill="F8FAFC"/>
          </w:tcPr>
          <w:p>
            <w:pPr>
              <w:widowControl/>
              <w:spacing w:after="0"/>
            </w:pPr>
            <w:r>
              <w:rPr>
                <w:rFonts w:ascii="Calibri" w:hAnsi="Calibri"/>
                <w:sz w:val="16"/>
              </w:rPr>
              <w:t>[LOW / MEDIUM / HIGH — REASONS]</w:t>
            </w:r>
          </w:p>
        </w:tc>
        <w:tc>
          <w:tcPr>
            <w:tcW w:type="dxa" w:w="4046"/>
            <w:tcMar>
              <w:top w:w="90" w:type="dxa"/>
              <w:start w:w="120" w:type="dxa"/>
              <w:bottom w:w="90" w:type="dxa"/>
              <w:end w:w="120" w:type="dxa"/>
            </w:tcMar>
            <w:vAlign w:val="center"/>
            <w:shd w:fill="F8FAFC"/>
          </w:tcPr>
          <w:p>
            <w:pPr>
              <w:widowControl/>
              <w:spacing w:after="0"/>
            </w:pPr>
            <w:r>
              <w:rPr>
                <w:rFonts w:ascii="Calibri" w:hAnsi="Calibri"/>
                <w:sz w:val="16"/>
              </w:rPr>
              <w:t>[SECURITY BASELINE / TESTING / INCIDENT PREPAREDNESS]</w:t>
            </w:r>
          </w:p>
        </w:tc>
      </w:tr>
    </w:tbl>
    <w:p>
      <w:pPr>
        <w:widowControl/>
        <w:spacing w:after="0"/>
      </w:pPr>
    </w:p>
    <w:tbl>
      <w:tblPr>
        <w:tblW w:type="auto" w:w="0"/>
        <w:jc w:val="center"/>
        <w:tblLayout w:type="fixed"/>
        <w:tblLook w:firstColumn="1" w:firstRow="1" w:lastColumn="0" w:lastRow="0" w:noHBand="0" w:noVBand="1" w:val="04A0"/>
      </w:tblPr>
      <w:tblGrid>
        <w:gridCol w:w="172"/>
        <w:gridCol w:w="9705"/>
      </w:tblGrid>
      <w:tr>
        <w:tc>
          <w:tcPr>
            <w:tcW w:type="dxa" w:w="172"/>
            <w:shd w:fill="0F6B78"/>
            <w:tcMar>
              <w:top w:w="0" w:type="dxa"/>
              <w:start w:w="0" w:type="dxa"/>
              <w:bottom w:w="0" w:type="dxa"/>
              <w:end w:w="0" w:type="dxa"/>
            </w:tcMar>
            <w:tcBorders>
              <w:top w:val="nil"/>
              <w:left w:val="nil"/>
              <w:bottom w:val="nil"/>
              <w:right w:val="nil"/>
            </w:tcBorders>
            <w:vAlign w:val="center"/>
          </w:tcPr>
          <w:p>
            <w:pPr>
              <w:widowControl/>
            </w:pPr>
          </w:p>
        </w:tc>
        <w:tc>
          <w:tcPr>
            <w:tcW w:type="dxa" w:w="9705"/>
            <w:shd w:fill="F3F7FA"/>
            <w:tcMar>
              <w:top w:w="120" w:type="dxa"/>
              <w:start w:w="150" w:type="dxa"/>
              <w:bottom w:w="120" w:type="dxa"/>
              <w:end w:w="150" w:type="dxa"/>
            </w:tcMar>
            <w:tcBorders>
              <w:top w:val="nil"/>
              <w:left w:val="nil"/>
              <w:bottom w:val="nil"/>
              <w:right w:val="nil"/>
            </w:tcBorders>
            <w:vAlign w:val="center"/>
          </w:tcPr>
          <w:p>
            <w:pPr>
              <w:widowControl/>
            </w:pPr>
            <w:r>
              <w:rPr>
                <w:rFonts w:ascii="Calibri" w:hAnsi="Calibri"/>
                <w:b/>
                <w:color w:val="0F6B78"/>
                <w:sz w:val="18"/>
              </w:rPr>
              <w:t>APPROVED PROPORTIONALITY CONCLUSION</w:t>
            </w:r>
            <w:r>
              <w:rPr>
                <w:rFonts w:ascii="Calibri" w:hAnsi="Calibri"/>
              </w:rPr>
              <w:br/>
              <w:t>[INSERT CONCISE BOARD-APPROVED CONCLUSION EXPLAINING WHY THE CONTROL MODEL IS APPROPRIATE, INCLUDING ANY COMBINED ROLES, OUTSOURCED TASKS, REVIEW FREQUENCIES OR OTHER PROPORTIONATE DESIGN CHOICES.]</w:t>
            </w:r>
          </w:p>
        </w:tc>
      </w:tr>
    </w:tbl>
    <w:p>
      <w:pPr>
        <w:pStyle w:val="Heading1"/>
        <w:widowControl/>
      </w:pPr>
      <w:r>
        <w:t>4. Framework objectives and principles</w:t>
      </w:r>
    </w:p>
    <w:p>
      <w:pPr>
        <w:pStyle w:val="Heading2"/>
        <w:widowControl/>
      </w:pPr>
      <w:r>
        <w:t>4.1 Objectives</w:t>
      </w:r>
    </w:p>
    <w:p>
      <w:pPr>
        <w:pStyle w:val="ListBullet"/>
        <w:widowControl/>
        <w:ind w:left="475"/>
      </w:pPr>
      <w:r>
        <w:t>support the firm’s business strategy and authorised services without exposing clients, the firm or the financial system to ICT risk outside approved tolerance;</w:t>
      </w:r>
    </w:p>
    <w:p>
      <w:pPr>
        <w:pStyle w:val="ListBullet"/>
        <w:widowControl/>
        <w:ind w:left="475"/>
      </w:pPr>
      <w:r>
        <w:t>protect the availability, authenticity, integrity and confidentiality of data and services;</w:t>
      </w:r>
    </w:p>
    <w:p>
      <w:pPr>
        <w:pStyle w:val="ListBullet"/>
        <w:widowControl/>
        <w:ind w:left="475"/>
      </w:pPr>
      <w:r>
        <w:t>ensure ICT risks, anomalies, vulnerabilities and incidents are promptly identified, assessed, escalated and handled;</w:t>
      </w:r>
    </w:p>
    <w:p>
      <w:pPr>
        <w:pStyle w:val="ListBullet"/>
        <w:widowControl/>
        <w:ind w:left="475"/>
      </w:pPr>
      <w:r>
        <w:t>maintain continuity of critical or important functions, including backup, restoration, response and recovery capability;</w:t>
      </w:r>
    </w:p>
    <w:p>
      <w:pPr>
        <w:pStyle w:val="ListBullet"/>
        <w:widowControl/>
        <w:ind w:left="475"/>
      </w:pPr>
      <w:r>
        <w:t>identify and manage dependencies on ICT third-party service providers without transferring accountability;</w:t>
      </w:r>
    </w:p>
    <w:p>
      <w:pPr>
        <w:pStyle w:val="ListBullet"/>
        <w:widowControl/>
        <w:ind w:left="475"/>
      </w:pPr>
      <w:r>
        <w:t>validate controls and continuity arrangements through proportionate testing and assurance; and</w:t>
      </w:r>
    </w:p>
    <w:p>
      <w:pPr>
        <w:pStyle w:val="ListBullet"/>
        <w:widowControl/>
        <w:ind w:left="475"/>
      </w:pPr>
      <w:r>
        <w:t>produce complete, current and searchable information for management-body oversight and competent-authority requests.</w:t>
      </w:r>
    </w:p>
    <w:p>
      <w:pPr>
        <w:pStyle w:val="Heading2"/>
        <w:widowControl/>
      </w:pPr>
      <w:r>
        <w:t>4.2 Governing principles</w:t>
      </w:r>
    </w:p>
    <w:tbl>
      <w:tblPr>
        <w:tblStyle w:val="TableGrid"/>
        <w:tblW w:type="auto" w:w="0"/>
        <w:jc w:val="center"/>
        <w:tblLayout w:type="fixed"/>
        <w:tblLook w:firstColumn="1" w:firstRow="1" w:lastColumn="0" w:lastRow="0" w:noHBand="0" w:noVBand="1" w:val="04A0"/>
      </w:tblPr>
      <w:tblGrid>
        <w:gridCol w:w="2880"/>
        <w:gridCol w:w="6998"/>
      </w:tblGrid>
      <w:tr>
        <w:trPr>
          <w:tblHeader w:val="true"/>
        </w:trPr>
        <w:tc>
          <w:tcPr>
            <w:tcW w:type="dxa" w:w="2880"/>
            <w:shd w:fill="17365D"/>
            <w:tcMar>
              <w:top w:w="90" w:type="dxa"/>
              <w:start w:w="120" w:type="dxa"/>
              <w:bottom w:w="90" w:type="dxa"/>
              <w:end w:w="120" w:type="dxa"/>
            </w:tcMar>
            <w:vAlign w:val="center"/>
          </w:tcPr>
          <w:p>
            <w:pPr>
              <w:widowControl/>
              <w:jc w:val="left"/>
            </w:pPr>
            <w:r>
              <w:rPr>
                <w:rFonts w:ascii="Calibri" w:hAnsi="Calibri"/>
                <w:b/>
                <w:color w:val="FFFFFF"/>
                <w:sz w:val="17"/>
              </w:rPr>
              <w:t>Principle</w:t>
            </w:r>
          </w:p>
        </w:tc>
        <w:tc>
          <w:tcPr>
            <w:tcW w:type="dxa" w:w="6998"/>
            <w:shd w:fill="17365D"/>
            <w:tcMar>
              <w:top w:w="90" w:type="dxa"/>
              <w:start w:w="120" w:type="dxa"/>
              <w:bottom w:w="90" w:type="dxa"/>
              <w:end w:w="120" w:type="dxa"/>
            </w:tcMar>
            <w:vAlign w:val="center"/>
          </w:tcPr>
          <w:p>
            <w:pPr>
              <w:widowControl/>
              <w:jc w:val="left"/>
            </w:pPr>
            <w:r>
              <w:rPr>
                <w:rFonts w:ascii="Calibri" w:hAnsi="Calibri"/>
                <w:b/>
                <w:color w:val="FFFFFF"/>
                <w:sz w:val="17"/>
              </w:rPr>
              <w:t>Application</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7"/>
              </w:rPr>
              <w:t>Management-body accountability</w:t>
            </w:r>
          </w:p>
        </w:tc>
        <w:tc>
          <w:tcPr>
            <w:tcW w:type="dxa" w:w="6998"/>
            <w:tcMar>
              <w:top w:w="90" w:type="dxa"/>
              <w:start w:w="120" w:type="dxa"/>
              <w:bottom w:w="90" w:type="dxa"/>
              <w:end w:w="120" w:type="dxa"/>
            </w:tcMar>
            <w:vAlign w:val="center"/>
          </w:tcPr>
          <w:p>
            <w:pPr>
              <w:widowControl/>
              <w:spacing w:after="0"/>
            </w:pPr>
            <w:r>
              <w:rPr>
                <w:rFonts w:ascii="Calibri" w:hAnsi="Calibri"/>
                <w:sz w:val="17"/>
              </w:rPr>
              <w:t>The management body sets direction, approves risk tolerance and key arrangements, challenges management and receives decision-useful reporting.</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7"/>
              </w:rPr>
              <w:t>Business ownership of ICT risk</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7"/>
              </w:rPr>
              <w:t>Business owners remain accountable for ICT risk affecting their functions, even where systems or controls are operated by IT or providers.</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7"/>
              </w:rPr>
              <w:t>Proportionality with minimum outcomes</w:t>
            </w:r>
          </w:p>
        </w:tc>
        <w:tc>
          <w:tcPr>
            <w:tcW w:type="dxa" w:w="6998"/>
            <w:tcMar>
              <w:top w:w="90" w:type="dxa"/>
              <w:start w:w="120" w:type="dxa"/>
              <w:bottom w:w="90" w:type="dxa"/>
              <w:end w:w="120" w:type="dxa"/>
            </w:tcMar>
            <w:vAlign w:val="center"/>
          </w:tcPr>
          <w:p>
            <w:pPr>
              <w:widowControl/>
              <w:spacing w:after="0"/>
            </w:pPr>
            <w:r>
              <w:rPr>
                <w:rFonts w:ascii="Calibri" w:hAnsi="Calibri"/>
                <w:sz w:val="17"/>
              </w:rPr>
              <w:t>Controls are scaled to risk and complexity while still achieving the required regulatory outcomes.</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7"/>
              </w:rPr>
              <w:t>Security by design and default</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7"/>
              </w:rPr>
              <w:t>Information-security requirements are built into acquisition, access, change and operating processes.</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7"/>
              </w:rPr>
              <w:t>Least privilege and segregation</w:t>
            </w:r>
          </w:p>
        </w:tc>
        <w:tc>
          <w:tcPr>
            <w:tcW w:type="dxa" w:w="6998"/>
            <w:tcMar>
              <w:top w:w="90" w:type="dxa"/>
              <w:start w:w="120" w:type="dxa"/>
              <w:bottom w:w="90" w:type="dxa"/>
              <w:end w:w="120" w:type="dxa"/>
            </w:tcMar>
            <w:vAlign w:val="center"/>
          </w:tcPr>
          <w:p>
            <w:pPr>
              <w:widowControl/>
              <w:spacing w:after="0"/>
            </w:pPr>
            <w:r>
              <w:rPr>
                <w:rFonts w:ascii="Calibri" w:hAnsi="Calibri"/>
                <w:sz w:val="17"/>
              </w:rPr>
              <w:t>Access and responsibilities are limited, reviewed and arranged to prevent conflicts and single-person control where practicable.</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7"/>
              </w:rPr>
              <w:t>Resilience over prevention alone</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7"/>
              </w:rPr>
              <w:t>The firm prepares to detect, respond, recover and learn, recognising that not all events can be prevented.</w:t>
            </w:r>
          </w:p>
        </w:tc>
      </w:tr>
      <w:tr>
        <w:trPr>
          <w:cantSplit/>
        </w:trPr>
        <w:tc>
          <w:tcPr>
            <w:tcW w:type="dxa" w:w="2880"/>
            <w:tcMar>
              <w:top w:w="90" w:type="dxa"/>
              <w:start w:w="120" w:type="dxa"/>
              <w:bottom w:w="90" w:type="dxa"/>
              <w:end w:w="120" w:type="dxa"/>
            </w:tcMar>
            <w:vAlign w:val="center"/>
          </w:tcPr>
          <w:p>
            <w:pPr>
              <w:widowControl/>
              <w:spacing w:after="0"/>
            </w:pPr>
            <w:r>
              <w:rPr>
                <w:rFonts w:ascii="Calibri" w:hAnsi="Calibri"/>
                <w:b/>
                <w:color w:val="1F4D78"/>
                <w:sz w:val="17"/>
              </w:rPr>
              <w:t>Evidence and traceability</w:t>
            </w:r>
          </w:p>
        </w:tc>
        <w:tc>
          <w:tcPr>
            <w:tcW w:type="dxa" w:w="6998"/>
            <w:tcMar>
              <w:top w:w="90" w:type="dxa"/>
              <w:start w:w="120" w:type="dxa"/>
              <w:bottom w:w="90" w:type="dxa"/>
              <w:end w:w="120" w:type="dxa"/>
            </w:tcMar>
            <w:vAlign w:val="center"/>
          </w:tcPr>
          <w:p>
            <w:pPr>
              <w:widowControl/>
              <w:spacing w:after="0"/>
            </w:pPr>
            <w:r>
              <w:rPr>
                <w:rFonts w:ascii="Calibri" w:hAnsi="Calibri"/>
                <w:sz w:val="17"/>
              </w:rPr>
              <w:t>Material decisions, reviews, approvals, tests, exceptions and remediation are documented and retained.</w:t>
            </w:r>
          </w:p>
        </w:tc>
      </w:tr>
      <w:tr>
        <w:trPr>
          <w:cantSplit/>
        </w:trPr>
        <w:tc>
          <w:tcPr>
            <w:tcW w:type="dxa" w:w="2880"/>
            <w:tcMar>
              <w:top w:w="90" w:type="dxa"/>
              <w:start w:w="120" w:type="dxa"/>
              <w:bottom w:w="90" w:type="dxa"/>
              <w:end w:w="120" w:type="dxa"/>
            </w:tcMar>
            <w:vAlign w:val="center"/>
            <w:shd w:fill="F8FAFC"/>
          </w:tcPr>
          <w:p>
            <w:pPr>
              <w:widowControl/>
              <w:spacing w:after="0"/>
            </w:pPr>
            <w:r>
              <w:rPr>
                <w:rFonts w:ascii="Calibri" w:hAnsi="Calibri"/>
                <w:b/>
                <w:color w:val="1F4D78"/>
                <w:sz w:val="17"/>
              </w:rPr>
              <w:t>Continuous improvement</w:t>
            </w:r>
          </w:p>
        </w:tc>
        <w:tc>
          <w:tcPr>
            <w:tcW w:type="dxa" w:w="6998"/>
            <w:tcMar>
              <w:top w:w="90" w:type="dxa"/>
              <w:start w:w="120" w:type="dxa"/>
              <w:bottom w:w="90" w:type="dxa"/>
              <w:end w:w="120" w:type="dxa"/>
            </w:tcMar>
            <w:vAlign w:val="center"/>
            <w:shd w:fill="F8FAFC"/>
          </w:tcPr>
          <w:p>
            <w:pPr>
              <w:widowControl/>
              <w:spacing w:after="0"/>
            </w:pPr>
            <w:r>
              <w:rPr>
                <w:rFonts w:ascii="Calibri" w:hAnsi="Calibri"/>
                <w:sz w:val="17"/>
              </w:rPr>
              <w:t>Incidents, testing, audit, changes and evolving threats feed back into risk assessment and control improvement.</w:t>
            </w:r>
          </w:p>
        </w:tc>
      </w:tr>
    </w:tbl>
    <w:p>
      <w:pPr>
        <w:widowControl/>
        <w:spacing w:after="0"/>
      </w:pPr>
    </w:p>
    <w:p>
      <w:pPr>
        <w:pStyle w:val="Heading1"/>
        <w:widowControl/>
      </w:pPr>
      <w:r>
        <w:t>5. Governance, roles and accountability</w:t>
      </w:r>
    </w:p>
    <w:p>
      <w:pPr>
        <w:pStyle w:val="Heading2"/>
        <w:widowControl/>
      </w:pPr>
      <w:r>
        <w:t>5.1 Management body</w:t>
      </w:r>
    </w:p>
    <w:p>
      <w:pPr>
        <w:widowControl/>
      </w:pPr>
      <w:r>
        <w:t>The management body shall:</w:t>
      </w:r>
    </w:p>
    <w:p>
      <w:pPr>
        <w:pStyle w:val="ListBullet"/>
        <w:widowControl/>
        <w:ind w:left="475"/>
      </w:pPr>
      <w:r>
        <w:t>bear overall responsibility for the effectiveness of the simplified ICT risk management framework and its alignment with the business strategy and risk appetite;</w:t>
      </w:r>
    </w:p>
    <w:p>
      <w:pPr>
        <w:pStyle w:val="ListBullet"/>
        <w:widowControl/>
        <w:ind w:left="475"/>
      </w:pPr>
      <w:r>
        <w:t>set clear roles and responsibilities for ICT-related tasks and ensure appropriate segregation and independence of control and internal audit functions;</w:t>
      </w:r>
    </w:p>
    <w:p>
      <w:pPr>
        <w:pStyle w:val="ListBullet"/>
        <w:widowControl/>
        <w:ind w:left="475"/>
      </w:pPr>
      <w:r>
        <w:t>set information-security objectives and ICT requirements;</w:t>
      </w:r>
    </w:p>
    <w:p>
      <w:pPr>
        <w:pStyle w:val="ListBullet"/>
        <w:widowControl/>
        <w:ind w:left="475"/>
      </w:pPr>
      <w:r>
        <w:t>approve, oversee and periodically review the classification of information assets, the list of main ICT risks, the business impact analysis, related policies, business continuity plans and response and recovery measures;</w:t>
      </w:r>
    </w:p>
    <w:p>
      <w:pPr>
        <w:pStyle w:val="ListBullet"/>
        <w:widowControl/>
        <w:ind w:left="475"/>
      </w:pPr>
      <w:r>
        <w:t>allocate and review at least annually the budget and resources needed for digital operational resilience, including training and skills;</w:t>
      </w:r>
    </w:p>
    <w:p>
      <w:pPr>
        <w:pStyle w:val="ListBullet"/>
        <w:widowControl/>
        <w:ind w:left="475"/>
      </w:pPr>
      <w:r>
        <w:t>approve the ICT risk tolerance statement and decide matters reserved under section 6;</w:t>
      </w:r>
    </w:p>
    <w:p>
      <w:pPr>
        <w:pStyle w:val="ListBullet"/>
        <w:widowControl/>
        <w:ind w:left="475"/>
      </w:pPr>
      <w:r>
        <w:t>ensure staff possess knowledge and skills commensurate with the ICT risk they manage;</w:t>
      </w:r>
    </w:p>
    <w:p>
      <w:pPr>
        <w:pStyle w:val="ListBullet"/>
        <w:widowControl/>
        <w:ind w:left="475"/>
      </w:pPr>
      <w:r>
        <w:t>receive reporting at the frequency and in the form set out in section 9; and</w:t>
      </w:r>
    </w:p>
    <w:p>
      <w:pPr>
        <w:pStyle w:val="ListBullet"/>
        <w:widowControl/>
        <w:ind w:left="475"/>
      </w:pPr>
      <w:r>
        <w:t>ensure critical audit findings and material control deficiencies are remediated in a timely manner.</w:t>
      </w:r>
    </w:p>
    <w:p>
      <w:pPr>
        <w:pStyle w:val="Heading2"/>
        <w:widowControl/>
      </w:pPr>
      <w:r>
        <w:t>5.2 Delegated roles</w:t>
      </w:r>
    </w:p>
    <w:tbl>
      <w:tblPr>
        <w:tblStyle w:val="TableGrid"/>
        <w:tblW w:type="auto" w:w="0"/>
        <w:jc w:val="center"/>
        <w:tblLayout w:type="fixed"/>
        <w:tblLook w:firstColumn="1" w:firstRow="1" w:lastColumn="0" w:lastRow="0" w:noHBand="0" w:noVBand="1" w:val="04A0"/>
      </w:tblPr>
      <w:tblGrid>
        <w:gridCol w:w="2520"/>
        <w:gridCol w:w="5342"/>
        <w:gridCol w:w="2015"/>
      </w:tblGrid>
      <w:tr>
        <w:trPr>
          <w:tblHeader w:val="true"/>
        </w:trPr>
        <w:tc>
          <w:tcPr>
            <w:tcW w:type="dxa" w:w="2520"/>
            <w:shd w:fill="17365D"/>
            <w:tcMar>
              <w:top w:w="90" w:type="dxa"/>
              <w:start w:w="120" w:type="dxa"/>
              <w:bottom w:w="90" w:type="dxa"/>
              <w:end w:w="120" w:type="dxa"/>
            </w:tcMar>
            <w:vAlign w:val="center"/>
          </w:tcPr>
          <w:p>
            <w:pPr>
              <w:widowControl/>
              <w:jc w:val="left"/>
            </w:pPr>
            <w:r>
              <w:rPr>
                <w:rFonts w:ascii="Calibri" w:hAnsi="Calibri"/>
                <w:b/>
                <w:color w:val="FFFFFF"/>
                <w:sz w:val="16"/>
              </w:rPr>
              <w:t>Role</w:t>
            </w:r>
          </w:p>
        </w:tc>
        <w:tc>
          <w:tcPr>
            <w:tcW w:type="dxa" w:w="5342"/>
            <w:shd w:fill="17365D"/>
            <w:tcMar>
              <w:top w:w="90" w:type="dxa"/>
              <w:start w:w="120" w:type="dxa"/>
              <w:bottom w:w="90" w:type="dxa"/>
              <w:end w:w="120" w:type="dxa"/>
            </w:tcMar>
            <w:vAlign w:val="center"/>
          </w:tcPr>
          <w:p>
            <w:pPr>
              <w:widowControl/>
              <w:jc w:val="left"/>
            </w:pPr>
            <w:r>
              <w:rPr>
                <w:rFonts w:ascii="Calibri" w:hAnsi="Calibri"/>
                <w:b/>
                <w:color w:val="FFFFFF"/>
                <w:sz w:val="16"/>
              </w:rPr>
              <w:t>Core accountability</w:t>
            </w:r>
          </w:p>
        </w:tc>
        <w:tc>
          <w:tcPr>
            <w:tcW w:type="dxa" w:w="2015"/>
            <w:shd w:fill="17365D"/>
            <w:tcMar>
              <w:top w:w="90" w:type="dxa"/>
              <w:start w:w="120" w:type="dxa"/>
              <w:bottom w:w="90" w:type="dxa"/>
              <w:end w:w="120" w:type="dxa"/>
            </w:tcMar>
            <w:vAlign w:val="center"/>
          </w:tcPr>
          <w:p>
            <w:pPr>
              <w:widowControl/>
              <w:jc w:val="left"/>
            </w:pPr>
            <w:r>
              <w:rPr>
                <w:rFonts w:ascii="Calibri" w:hAnsi="Calibri"/>
                <w:b/>
                <w:color w:val="FFFFFF"/>
                <w:sz w:val="16"/>
              </w:rPr>
              <w:t>Named holder / provider</w:t>
            </w:r>
          </w:p>
        </w:tc>
      </w:tr>
      <w:tr>
        <w:trPr>
          <w:cantSplit/>
        </w:trPr>
        <w:tc>
          <w:tcPr>
            <w:tcW w:type="dxa" w:w="2520"/>
            <w:tcMar>
              <w:top w:w="90" w:type="dxa"/>
              <w:start w:w="120" w:type="dxa"/>
              <w:bottom w:w="90" w:type="dxa"/>
              <w:end w:w="120" w:type="dxa"/>
            </w:tcMar>
            <w:vAlign w:val="center"/>
          </w:tcPr>
          <w:p>
            <w:pPr>
              <w:widowControl/>
              <w:spacing w:after="0"/>
            </w:pPr>
            <w:r>
              <w:rPr>
                <w:rFonts w:ascii="Calibri" w:hAnsi="Calibri"/>
                <w:sz w:val="16"/>
              </w:rPr>
              <w:t>Executive accountable for DORA</w:t>
            </w:r>
          </w:p>
        </w:tc>
        <w:tc>
          <w:tcPr>
            <w:tcW w:type="dxa" w:w="5342"/>
            <w:tcMar>
              <w:top w:w="90" w:type="dxa"/>
              <w:start w:w="120" w:type="dxa"/>
              <w:bottom w:w="90" w:type="dxa"/>
              <w:end w:w="120" w:type="dxa"/>
            </w:tcMar>
            <w:vAlign w:val="center"/>
          </w:tcPr>
          <w:p>
            <w:pPr>
              <w:widowControl/>
              <w:spacing w:after="0"/>
            </w:pPr>
            <w:r>
              <w:rPr>
                <w:rFonts w:ascii="Calibri" w:hAnsi="Calibri"/>
                <w:sz w:val="16"/>
              </w:rPr>
              <w:t>Coordinates implementation; ensures decisions and resources; escalates material matters.</w:t>
            </w:r>
          </w:p>
        </w:tc>
        <w:tc>
          <w:tcPr>
            <w:tcW w:type="dxa" w:w="2015"/>
            <w:tcMar>
              <w:top w:w="90" w:type="dxa"/>
              <w:start w:w="120" w:type="dxa"/>
              <w:bottom w:w="90" w:type="dxa"/>
              <w:end w:w="120" w:type="dxa"/>
            </w:tcMar>
            <w:vAlign w:val="center"/>
          </w:tcPr>
          <w:p>
            <w:pPr>
              <w:widowControl/>
              <w:spacing w:after="0"/>
            </w:pPr>
            <w:r>
              <w:rPr>
                <w:rFonts w:ascii="Calibri" w:hAnsi="Calibri"/>
                <w:sz w:val="16"/>
              </w:rPr>
              <w:t>[ROLE / NAME]</w:t>
            </w:r>
          </w:p>
        </w:tc>
      </w:tr>
      <w:tr>
        <w:trPr>
          <w:cantSplit/>
        </w:trPr>
        <w:tc>
          <w:tcPr>
            <w:tcW w:type="dxa" w:w="2520"/>
            <w:tcMar>
              <w:top w:w="90" w:type="dxa"/>
              <w:start w:w="120" w:type="dxa"/>
              <w:bottom w:w="90" w:type="dxa"/>
              <w:end w:w="120" w:type="dxa"/>
            </w:tcMar>
            <w:vAlign w:val="center"/>
            <w:shd w:fill="F8FAFC"/>
          </w:tcPr>
          <w:p>
            <w:pPr>
              <w:widowControl/>
              <w:spacing w:after="0"/>
            </w:pPr>
            <w:r>
              <w:rPr>
                <w:rFonts w:ascii="Calibri" w:hAnsi="Calibri"/>
                <w:sz w:val="16"/>
              </w:rPr>
              <w:t>ICT risk owner / coordinator</w:t>
            </w:r>
          </w:p>
        </w:tc>
        <w:tc>
          <w:tcPr>
            <w:tcW w:type="dxa" w:w="5342"/>
            <w:tcMar>
              <w:top w:w="90" w:type="dxa"/>
              <w:start w:w="120" w:type="dxa"/>
              <w:bottom w:w="90" w:type="dxa"/>
              <w:end w:w="120" w:type="dxa"/>
            </w:tcMar>
            <w:vAlign w:val="center"/>
            <w:shd w:fill="F8FAFC"/>
          </w:tcPr>
          <w:p>
            <w:pPr>
              <w:widowControl/>
              <w:spacing w:after="0"/>
            </w:pPr>
            <w:r>
              <w:rPr>
                <w:rFonts w:ascii="Calibri" w:hAnsi="Calibri"/>
                <w:sz w:val="16"/>
              </w:rPr>
              <w:t>Maintains D01, coordinates risk assessment, monitoring and reporting; does not replace business risk ownership.</w:t>
            </w:r>
          </w:p>
        </w:tc>
        <w:tc>
          <w:tcPr>
            <w:tcW w:type="dxa" w:w="2015"/>
            <w:tcMar>
              <w:top w:w="90" w:type="dxa"/>
              <w:start w:w="120" w:type="dxa"/>
              <w:bottom w:w="90" w:type="dxa"/>
              <w:end w:w="120" w:type="dxa"/>
            </w:tcMar>
            <w:vAlign w:val="center"/>
            <w:shd w:fill="F8FAFC"/>
          </w:tcPr>
          <w:p>
            <w:pPr>
              <w:widowControl/>
              <w:spacing w:after="0"/>
            </w:pPr>
            <w:r>
              <w:rPr>
                <w:rFonts w:ascii="Calibri" w:hAnsi="Calibri"/>
                <w:sz w:val="16"/>
              </w:rPr>
              <w:t>[ROLE / NAME]</w:t>
            </w:r>
          </w:p>
        </w:tc>
      </w:tr>
      <w:tr>
        <w:trPr>
          <w:cantSplit/>
        </w:trPr>
        <w:tc>
          <w:tcPr>
            <w:tcW w:type="dxa" w:w="2520"/>
            <w:tcMar>
              <w:top w:w="90" w:type="dxa"/>
              <w:start w:w="120" w:type="dxa"/>
              <w:bottom w:w="90" w:type="dxa"/>
              <w:end w:w="120" w:type="dxa"/>
            </w:tcMar>
            <w:vAlign w:val="center"/>
          </w:tcPr>
          <w:p>
            <w:pPr>
              <w:widowControl/>
              <w:spacing w:after="0"/>
            </w:pPr>
            <w:r>
              <w:rPr>
                <w:rFonts w:ascii="Calibri" w:hAnsi="Calibri"/>
                <w:sz w:val="16"/>
              </w:rPr>
              <w:t>Information security lead</w:t>
            </w:r>
          </w:p>
        </w:tc>
        <w:tc>
          <w:tcPr>
            <w:tcW w:type="dxa" w:w="5342"/>
            <w:tcMar>
              <w:top w:w="90" w:type="dxa"/>
              <w:start w:w="120" w:type="dxa"/>
              <w:bottom w:w="90" w:type="dxa"/>
              <w:end w:w="120" w:type="dxa"/>
            </w:tcMar>
            <w:vAlign w:val="center"/>
          </w:tcPr>
          <w:p>
            <w:pPr>
              <w:widowControl/>
              <w:spacing w:after="0"/>
            </w:pPr>
            <w:r>
              <w:rPr>
                <w:rFonts w:ascii="Calibri" w:hAnsi="Calibri"/>
                <w:sz w:val="16"/>
              </w:rPr>
              <w:t>Maintains security measures and operational control reporting under D02.</w:t>
            </w:r>
          </w:p>
        </w:tc>
        <w:tc>
          <w:tcPr>
            <w:tcW w:type="dxa" w:w="2015"/>
            <w:tcMar>
              <w:top w:w="90" w:type="dxa"/>
              <w:start w:w="120" w:type="dxa"/>
              <w:bottom w:w="90" w:type="dxa"/>
              <w:end w:w="120" w:type="dxa"/>
            </w:tcMar>
            <w:vAlign w:val="center"/>
          </w:tcPr>
          <w:p>
            <w:pPr>
              <w:widowControl/>
              <w:spacing w:after="0"/>
            </w:pPr>
            <w:r>
              <w:rPr>
                <w:rFonts w:ascii="Calibri" w:hAnsi="Calibri"/>
                <w:sz w:val="16"/>
              </w:rPr>
              <w:t>[ROLE / PROVIDER]</w:t>
            </w:r>
          </w:p>
        </w:tc>
      </w:tr>
      <w:tr>
        <w:trPr>
          <w:cantSplit/>
        </w:trPr>
        <w:tc>
          <w:tcPr>
            <w:tcW w:type="dxa" w:w="2520"/>
            <w:tcMar>
              <w:top w:w="90" w:type="dxa"/>
              <w:start w:w="120" w:type="dxa"/>
              <w:bottom w:w="90" w:type="dxa"/>
              <w:end w:w="120" w:type="dxa"/>
            </w:tcMar>
            <w:vAlign w:val="center"/>
            <w:shd w:fill="F8FAFC"/>
          </w:tcPr>
          <w:p>
            <w:pPr>
              <w:widowControl/>
              <w:spacing w:after="0"/>
            </w:pPr>
            <w:r>
              <w:rPr>
                <w:rFonts w:ascii="Calibri" w:hAnsi="Calibri"/>
                <w:sz w:val="16"/>
              </w:rPr>
              <w:t>Business function owners</w:t>
            </w:r>
          </w:p>
        </w:tc>
        <w:tc>
          <w:tcPr>
            <w:tcW w:type="dxa" w:w="5342"/>
            <w:tcMar>
              <w:top w:w="90" w:type="dxa"/>
              <w:start w:w="120" w:type="dxa"/>
              <w:bottom w:w="90" w:type="dxa"/>
              <w:end w:w="120" w:type="dxa"/>
            </w:tcMar>
            <w:vAlign w:val="center"/>
            <w:shd w:fill="F8FAFC"/>
          </w:tcPr>
          <w:p>
            <w:pPr>
              <w:widowControl/>
              <w:spacing w:after="0"/>
            </w:pPr>
            <w:r>
              <w:rPr>
                <w:rFonts w:ascii="Calibri" w:hAnsi="Calibri"/>
                <w:sz w:val="16"/>
              </w:rPr>
              <w:t>Identify assets, dependencies, impacts and risks; own treatment and continuity of their functions.</w:t>
            </w:r>
          </w:p>
        </w:tc>
        <w:tc>
          <w:tcPr>
            <w:tcW w:type="dxa" w:w="2015"/>
            <w:tcMar>
              <w:top w:w="90" w:type="dxa"/>
              <w:start w:w="120" w:type="dxa"/>
              <w:bottom w:w="90" w:type="dxa"/>
              <w:end w:w="120" w:type="dxa"/>
            </w:tcMar>
            <w:vAlign w:val="center"/>
            <w:shd w:fill="F8FAFC"/>
          </w:tcPr>
          <w:p>
            <w:pPr>
              <w:widowControl/>
              <w:spacing w:after="0"/>
            </w:pPr>
            <w:r>
              <w:rPr>
                <w:rFonts w:ascii="Calibri" w:hAnsi="Calibri"/>
                <w:sz w:val="16"/>
              </w:rPr>
              <w:t>[ROLES / NAMES]</w:t>
            </w:r>
          </w:p>
        </w:tc>
      </w:tr>
      <w:tr>
        <w:trPr>
          <w:cantSplit/>
        </w:trPr>
        <w:tc>
          <w:tcPr>
            <w:tcW w:type="dxa" w:w="2520"/>
            <w:tcMar>
              <w:top w:w="90" w:type="dxa"/>
              <w:start w:w="120" w:type="dxa"/>
              <w:bottom w:w="90" w:type="dxa"/>
              <w:end w:w="120" w:type="dxa"/>
            </w:tcMar>
            <w:vAlign w:val="center"/>
          </w:tcPr>
          <w:p>
            <w:pPr>
              <w:widowControl/>
              <w:spacing w:after="0"/>
            </w:pPr>
            <w:r>
              <w:rPr>
                <w:rFonts w:ascii="Calibri" w:hAnsi="Calibri"/>
                <w:sz w:val="16"/>
              </w:rPr>
              <w:t>Compliance / risk control</w:t>
            </w:r>
          </w:p>
        </w:tc>
        <w:tc>
          <w:tcPr>
            <w:tcW w:type="dxa" w:w="5342"/>
            <w:tcMar>
              <w:top w:w="90" w:type="dxa"/>
              <w:start w:w="120" w:type="dxa"/>
              <w:bottom w:w="90" w:type="dxa"/>
              <w:end w:w="120" w:type="dxa"/>
            </w:tcMar>
            <w:vAlign w:val="center"/>
          </w:tcPr>
          <w:p>
            <w:pPr>
              <w:widowControl/>
              <w:spacing w:after="0"/>
            </w:pPr>
            <w:r>
              <w:rPr>
                <w:rFonts w:ascii="Calibri" w:hAnsi="Calibri"/>
                <w:sz w:val="16"/>
              </w:rPr>
              <w:t>Provides independent challenge, monitors compliance and escalates deficiencies.</w:t>
            </w:r>
          </w:p>
        </w:tc>
        <w:tc>
          <w:tcPr>
            <w:tcW w:type="dxa" w:w="2015"/>
            <w:tcMar>
              <w:top w:w="90" w:type="dxa"/>
              <w:start w:w="120" w:type="dxa"/>
              <w:bottom w:w="90" w:type="dxa"/>
              <w:end w:w="120" w:type="dxa"/>
            </w:tcMar>
            <w:vAlign w:val="center"/>
          </w:tcPr>
          <w:p>
            <w:pPr>
              <w:widowControl/>
              <w:spacing w:after="0"/>
            </w:pPr>
            <w:r>
              <w:rPr>
                <w:rFonts w:ascii="Calibri" w:hAnsi="Calibri"/>
                <w:sz w:val="16"/>
              </w:rPr>
              <w:t>[ROLE / NAME]</w:t>
            </w:r>
          </w:p>
        </w:tc>
      </w:tr>
      <w:tr>
        <w:trPr>
          <w:cantSplit/>
        </w:trPr>
        <w:tc>
          <w:tcPr>
            <w:tcW w:type="dxa" w:w="2520"/>
            <w:tcMar>
              <w:top w:w="90" w:type="dxa"/>
              <w:start w:w="120" w:type="dxa"/>
              <w:bottom w:w="90" w:type="dxa"/>
              <w:end w:w="120" w:type="dxa"/>
            </w:tcMar>
            <w:vAlign w:val="center"/>
            <w:shd w:fill="F8FAFC"/>
          </w:tcPr>
          <w:p>
            <w:pPr>
              <w:widowControl/>
              <w:spacing w:after="0"/>
            </w:pPr>
            <w:r>
              <w:rPr>
                <w:rFonts w:ascii="Calibri" w:hAnsi="Calibri"/>
                <w:sz w:val="16"/>
              </w:rPr>
              <w:t>Incident manager</w:t>
            </w:r>
          </w:p>
        </w:tc>
        <w:tc>
          <w:tcPr>
            <w:tcW w:type="dxa" w:w="5342"/>
            <w:tcMar>
              <w:top w:w="90" w:type="dxa"/>
              <w:start w:w="120" w:type="dxa"/>
              <w:bottom w:w="90" w:type="dxa"/>
              <w:end w:w="120" w:type="dxa"/>
            </w:tcMar>
            <w:vAlign w:val="center"/>
            <w:shd w:fill="F8FAFC"/>
          </w:tcPr>
          <w:p>
            <w:pPr>
              <w:widowControl/>
              <w:spacing w:after="0"/>
            </w:pPr>
            <w:r>
              <w:rPr>
                <w:rFonts w:ascii="Calibri" w:hAnsi="Calibri"/>
                <w:sz w:val="16"/>
              </w:rPr>
              <w:t>Coordinates response, classification, regulatory decision-making and post-incident review under D06.</w:t>
            </w:r>
          </w:p>
        </w:tc>
        <w:tc>
          <w:tcPr>
            <w:tcW w:type="dxa" w:w="2015"/>
            <w:tcMar>
              <w:top w:w="90" w:type="dxa"/>
              <w:start w:w="120" w:type="dxa"/>
              <w:bottom w:w="90" w:type="dxa"/>
              <w:end w:w="120" w:type="dxa"/>
            </w:tcMar>
            <w:vAlign w:val="center"/>
            <w:shd w:fill="F8FAFC"/>
          </w:tcPr>
          <w:p>
            <w:pPr>
              <w:widowControl/>
              <w:spacing w:after="0"/>
            </w:pPr>
            <w:r>
              <w:rPr>
                <w:rFonts w:ascii="Calibri" w:hAnsi="Calibri"/>
                <w:sz w:val="16"/>
              </w:rPr>
              <w:t>[ROLE / NAME]</w:t>
            </w:r>
          </w:p>
        </w:tc>
      </w:tr>
      <w:tr>
        <w:trPr>
          <w:cantSplit/>
        </w:trPr>
        <w:tc>
          <w:tcPr>
            <w:tcW w:type="dxa" w:w="2520"/>
            <w:tcMar>
              <w:top w:w="90" w:type="dxa"/>
              <w:start w:w="120" w:type="dxa"/>
              <w:bottom w:w="90" w:type="dxa"/>
              <w:end w:w="120" w:type="dxa"/>
            </w:tcMar>
            <w:vAlign w:val="center"/>
          </w:tcPr>
          <w:p>
            <w:pPr>
              <w:widowControl/>
              <w:spacing w:after="0"/>
            </w:pPr>
            <w:r>
              <w:rPr>
                <w:rFonts w:ascii="Calibri" w:hAnsi="Calibri"/>
                <w:sz w:val="16"/>
              </w:rPr>
              <w:t>Third-party risk owner</w:t>
            </w:r>
          </w:p>
        </w:tc>
        <w:tc>
          <w:tcPr>
            <w:tcW w:type="dxa" w:w="5342"/>
            <w:tcMar>
              <w:top w:w="90" w:type="dxa"/>
              <w:start w:w="120" w:type="dxa"/>
              <w:bottom w:w="90" w:type="dxa"/>
              <w:end w:w="120" w:type="dxa"/>
            </w:tcMar>
            <w:vAlign w:val="center"/>
          </w:tcPr>
          <w:p>
            <w:pPr>
              <w:widowControl/>
              <w:spacing w:after="0"/>
            </w:pPr>
            <w:r>
              <w:rPr>
                <w:rFonts w:ascii="Calibri" w:hAnsi="Calibri"/>
                <w:sz w:val="16"/>
              </w:rPr>
              <w:t>Coordinates provider due diligence, contractual review, monitoring, register and exit readiness.</w:t>
            </w:r>
          </w:p>
        </w:tc>
        <w:tc>
          <w:tcPr>
            <w:tcW w:type="dxa" w:w="2015"/>
            <w:tcMar>
              <w:top w:w="90" w:type="dxa"/>
              <w:start w:w="120" w:type="dxa"/>
              <w:bottom w:w="90" w:type="dxa"/>
              <w:end w:w="120" w:type="dxa"/>
            </w:tcMar>
            <w:vAlign w:val="center"/>
          </w:tcPr>
          <w:p>
            <w:pPr>
              <w:widowControl/>
              <w:spacing w:after="0"/>
            </w:pPr>
            <w:r>
              <w:rPr>
                <w:rFonts w:ascii="Calibri" w:hAnsi="Calibri"/>
                <w:sz w:val="16"/>
              </w:rPr>
              <w:t>[ROLE / NAME]</w:t>
            </w:r>
          </w:p>
        </w:tc>
      </w:tr>
      <w:tr>
        <w:trPr>
          <w:cantSplit/>
        </w:trPr>
        <w:tc>
          <w:tcPr>
            <w:tcW w:type="dxa" w:w="2520"/>
            <w:tcMar>
              <w:top w:w="90" w:type="dxa"/>
              <w:start w:w="120" w:type="dxa"/>
              <w:bottom w:w="90" w:type="dxa"/>
              <w:end w:w="120" w:type="dxa"/>
            </w:tcMar>
            <w:vAlign w:val="center"/>
            <w:shd w:fill="F8FAFC"/>
          </w:tcPr>
          <w:p>
            <w:pPr>
              <w:widowControl/>
              <w:spacing w:after="0"/>
            </w:pPr>
            <w:r>
              <w:rPr>
                <w:rFonts w:ascii="Calibri" w:hAnsi="Calibri"/>
                <w:sz w:val="16"/>
              </w:rPr>
              <w:t>Internal audit</w:t>
            </w:r>
          </w:p>
        </w:tc>
        <w:tc>
          <w:tcPr>
            <w:tcW w:type="dxa" w:w="5342"/>
            <w:tcMar>
              <w:top w:w="90" w:type="dxa"/>
              <w:start w:w="120" w:type="dxa"/>
              <w:bottom w:w="90" w:type="dxa"/>
              <w:end w:w="120" w:type="dxa"/>
            </w:tcMar>
            <w:vAlign w:val="center"/>
            <w:shd w:fill="F8FAFC"/>
          </w:tcPr>
          <w:p>
            <w:pPr>
              <w:widowControl/>
              <w:spacing w:after="0"/>
            </w:pPr>
            <w:r>
              <w:rPr>
                <w:rFonts w:ascii="Calibri" w:hAnsi="Calibri"/>
                <w:sz w:val="16"/>
              </w:rPr>
              <w:t>Provides independent, risk-based assurance with sufficient ICT risk expertise.</w:t>
            </w:r>
          </w:p>
        </w:tc>
        <w:tc>
          <w:tcPr>
            <w:tcW w:type="dxa" w:w="2015"/>
            <w:tcMar>
              <w:top w:w="90" w:type="dxa"/>
              <w:start w:w="120" w:type="dxa"/>
              <w:bottom w:w="90" w:type="dxa"/>
              <w:end w:w="120" w:type="dxa"/>
            </w:tcMar>
            <w:vAlign w:val="center"/>
            <w:shd w:fill="F8FAFC"/>
          </w:tcPr>
          <w:p>
            <w:pPr>
              <w:widowControl/>
              <w:spacing w:after="0"/>
            </w:pPr>
            <w:r>
              <w:rPr>
                <w:rFonts w:ascii="Calibri" w:hAnsi="Calibri"/>
                <w:sz w:val="16"/>
              </w:rPr>
              <w:t>[FUNCTION / EXTERNAL AUDITOR]</w:t>
            </w:r>
          </w:p>
        </w:tc>
      </w:tr>
    </w:tbl>
    <w:p>
      <w:pPr>
        <w:widowControl/>
        <w:spacing w:after="0"/>
      </w:pPr>
    </w:p>
    <w:p>
      <w:pPr>
        <w:pStyle w:val="Heading2"/>
        <w:widowControl/>
      </w:pPr>
      <w:r>
        <w:t>5.3 Segregation and independence</w:t>
      </w:r>
    </w:p>
    <w:p>
      <w:pPr>
        <w:widowControl/>
      </w:pPr>
      <w:r>
        <w:t>The firm shall maintain appropriate segregation between operational responsibility, control challenge and independent audit. Where scale requires combined roles, the firm shall document the conflict assessment, compensating controls, escalation path and management-body rationale. A person shall not independently approve their own material risk acceptance, control exception or assurance conclusion.</w:t>
      </w:r>
    </w:p>
    <w:tbl>
      <w:tblPr>
        <w:tblW w:type="auto" w:w="0"/>
        <w:jc w:val="center"/>
        <w:tblLayout w:type="fixed"/>
        <w:tblLook w:firstColumn="1" w:firstRow="1" w:lastColumn="0" w:lastRow="0" w:noHBand="0" w:noVBand="1" w:val="04A0"/>
      </w:tblPr>
      <w:tblGrid>
        <w:gridCol w:w="172"/>
        <w:gridCol w:w="9705"/>
      </w:tblGrid>
      <w:tr>
        <w:tc>
          <w:tcPr>
            <w:tcW w:type="dxa" w:w="172"/>
            <w:shd w:fill="0F6B78"/>
            <w:tcMar>
              <w:top w:w="0" w:type="dxa"/>
              <w:start w:w="0" w:type="dxa"/>
              <w:bottom w:w="0" w:type="dxa"/>
              <w:end w:w="0" w:type="dxa"/>
            </w:tcMar>
            <w:tcBorders>
              <w:top w:val="nil"/>
              <w:left w:val="nil"/>
              <w:bottom w:val="nil"/>
              <w:right w:val="nil"/>
            </w:tcBorders>
            <w:vAlign w:val="center"/>
          </w:tcPr>
          <w:p>
            <w:pPr>
              <w:widowControl/>
            </w:pPr>
          </w:p>
        </w:tc>
        <w:tc>
          <w:tcPr>
            <w:tcW w:type="dxa" w:w="9705"/>
            <w:shd w:fill="F3F7FA"/>
            <w:tcMar>
              <w:top w:w="120" w:type="dxa"/>
              <w:start w:w="150" w:type="dxa"/>
              <w:bottom w:w="120" w:type="dxa"/>
              <w:end w:w="150" w:type="dxa"/>
            </w:tcMar>
            <w:tcBorders>
              <w:top w:val="nil"/>
              <w:left w:val="nil"/>
              <w:bottom w:val="nil"/>
              <w:right w:val="nil"/>
            </w:tcBorders>
            <w:vAlign w:val="center"/>
          </w:tcPr>
          <w:p>
            <w:pPr>
              <w:widowControl/>
            </w:pPr>
            <w:r>
              <w:rPr>
                <w:rFonts w:ascii="Calibri" w:hAnsi="Calibri"/>
                <w:b/>
                <w:color w:val="0F6B78"/>
                <w:sz w:val="18"/>
              </w:rPr>
              <w:t>APPROVED INTERNAL CONTROL MODEL</w:t>
            </w:r>
            <w:r>
              <w:rPr>
                <w:rFonts w:ascii="Calibri" w:hAnsi="Calibri"/>
              </w:rPr>
              <w:br/>
              <w:t>[DESCRIBE THE FIRM’S PROPORTIONATE MODEL, INCLUDING COMBINED ROLES, INDEPENDENT REVIEW, DIRECT ACCESS TO THE MANAGEMENT BODY AND ARRANGEMENTS FOR CONFLICTS.]</w:t>
            </w:r>
          </w:p>
        </w:tc>
      </w:tr>
    </w:tbl>
    <w:p>
      <w:pPr>
        <w:pStyle w:val="Heading2"/>
        <w:widowControl/>
      </w:pPr>
      <w:r>
        <w:t>5.4 Outsourcing and external support</w:t>
      </w:r>
    </w:p>
    <w:p>
      <w:pPr>
        <w:widowControl/>
      </w:pPr>
      <w:r>
        <w:t>The firm may outsource tasks, including technical operation or compliance verification, where permitted. It remains fully responsible for compliance, decisions and oversight. The accountable internal owner shall ensure that services, reporting, access to information, incident support, testing participation, audit evidence and exit arrangements are adequate and reflected in D09–D11.</w:t>
      </w:r>
    </w:p>
    <w:p>
      <w:pPr>
        <w:pStyle w:val="Heading1"/>
        <w:widowControl/>
      </w:pPr>
      <w:r>
        <w:t>6. ICT risk appetite and tolerance</w:t>
      </w:r>
    </w:p>
    <w:p>
      <w:pPr>
        <w:pStyle w:val="Heading2"/>
        <w:widowControl/>
      </w:pPr>
      <w:r>
        <w:t>6.1 Risk appetite statement</w:t>
      </w:r>
    </w:p>
    <w:tbl>
      <w:tblPr>
        <w:tblW w:type="auto" w:w="0"/>
        <w:jc w:val="center"/>
        <w:tblLayout w:type="fixed"/>
        <w:tblLook w:firstColumn="1" w:firstRow="1" w:lastColumn="0" w:lastRow="0" w:noHBand="0" w:noVBand="1" w:val="04A0"/>
      </w:tblPr>
      <w:tblGrid>
        <w:gridCol w:w="172"/>
        <w:gridCol w:w="9705"/>
      </w:tblGrid>
      <w:tr>
        <w:tc>
          <w:tcPr>
            <w:tcW w:type="dxa" w:w="172"/>
            <w:shd w:fill="0F6B78"/>
            <w:tcMar>
              <w:top w:w="0" w:type="dxa"/>
              <w:start w:w="0" w:type="dxa"/>
              <w:bottom w:w="0" w:type="dxa"/>
              <w:end w:w="0" w:type="dxa"/>
            </w:tcMar>
            <w:tcBorders>
              <w:top w:val="nil"/>
              <w:left w:val="nil"/>
              <w:bottom w:val="nil"/>
              <w:right w:val="nil"/>
            </w:tcBorders>
            <w:vAlign w:val="center"/>
          </w:tcPr>
          <w:p>
            <w:pPr>
              <w:widowControl/>
            </w:pPr>
          </w:p>
        </w:tc>
        <w:tc>
          <w:tcPr>
            <w:tcW w:type="dxa" w:w="9705"/>
            <w:shd w:fill="F3F7FA"/>
            <w:tcMar>
              <w:top w:w="120" w:type="dxa"/>
              <w:start w:w="150" w:type="dxa"/>
              <w:bottom w:w="120" w:type="dxa"/>
              <w:end w:w="150" w:type="dxa"/>
            </w:tcMar>
            <w:tcBorders>
              <w:top w:val="nil"/>
              <w:left w:val="nil"/>
              <w:bottom w:val="nil"/>
              <w:right w:val="nil"/>
            </w:tcBorders>
            <w:vAlign w:val="center"/>
          </w:tcPr>
          <w:p>
            <w:pPr>
              <w:widowControl/>
            </w:pPr>
            <w:r>
              <w:rPr>
                <w:rFonts w:ascii="Calibri" w:hAnsi="Calibri"/>
                <w:b/>
                <w:color w:val="0F6B78"/>
                <w:sz w:val="18"/>
              </w:rPr>
              <w:t>BOARD STATEMENT</w:t>
            </w:r>
            <w:r>
              <w:rPr>
                <w:rFonts w:ascii="Calibri" w:hAnsi="Calibri"/>
              </w:rPr>
              <w:br/>
              <w:t>The firm has no appetite for deliberate or reckless non-compliance, unauthorised access to client or confidential information, unmanaged privileged access, unsupported critical systems, untested restoration arrangements, concealment or late escalation of material incidents, or critical dependencies for which no viable continuity or exit response has been considered. The firm accepts a limited and controlled level of residual ICT risk where necessary to deliver its strategy, provided that the risk is understood, within approved tolerance, monitored, time-bound where remediation is required, and formally accepted at the correct authority level.</w:t>
            </w:r>
          </w:p>
        </w:tc>
      </w:tr>
    </w:tbl>
    <w:tbl>
      <w:tblPr>
        <w:tblW w:type="auto" w:w="0"/>
        <w:jc w:val="center"/>
        <w:tblLayout w:type="fixed"/>
        <w:tblLook w:firstColumn="1" w:firstRow="1" w:lastColumn="0" w:lastRow="0" w:noHBand="0" w:noVBand="1" w:val="04A0"/>
      </w:tblPr>
      <w:tblGrid>
        <w:gridCol w:w="9878"/>
      </w:tblGrid>
      <w:tr>
        <w:tc>
          <w:tcPr>
            <w:tcW w:type="dxa" w:w="9878"/>
            <w:shd w:fill="F2F4F7"/>
            <w:tcBorders>
              <w:top w:val="single" w:sz="6" w:color="D0D5DD"/>
              <w:left w:val="single" w:sz="6" w:color="D0D5DD"/>
              <w:bottom w:val="single" w:sz="6" w:color="D0D5DD"/>
              <w:right w:val="single" w:sz="6" w:color="D0D5DD"/>
            </w:tcBorders>
            <w:vAlign w:val="center"/>
          </w:tcPr>
          <w:p>
            <w:pPr>
              <w:pStyle w:val="DraftingNote"/>
              <w:widowControl/>
            </w:pPr>
            <w:r>
              <w:rPr>
                <w:rFonts w:ascii="Calibri" w:hAnsi="Calibri"/>
                <w:b/>
                <w:color w:val="1F4D78"/>
              </w:rPr>
              <w:t xml:space="preserve">DRAFTING NOTE  </w:t>
            </w:r>
            <w:r>
              <w:rPr>
                <w:rFonts w:ascii="Calibri" w:hAnsi="Calibri"/>
              </w:rPr>
              <w:t>Tailor the statement to the operating model. Avoid claiming “zero risk”; use clear intolerable outcomes and decision rights.</w:t>
            </w:r>
          </w:p>
        </w:tc>
      </w:tr>
    </w:tbl>
    <w:p>
      <w:pPr>
        <w:pStyle w:val="Heading2"/>
        <w:widowControl/>
      </w:pPr>
      <w:r>
        <w:t>6.2 Tolerance dimensions and indicators</w:t>
      </w:r>
    </w:p>
    <w:tbl>
      <w:tblPr>
        <w:tblStyle w:val="TableGrid"/>
        <w:tblW w:type="auto" w:w="0"/>
        <w:jc w:val="center"/>
        <w:tblLayout w:type="fixed"/>
        <w:tblLook w:firstColumn="1" w:firstRow="1" w:lastColumn="0" w:lastRow="0" w:noHBand="0" w:noVBand="1" w:val="04A0"/>
      </w:tblPr>
      <w:tblGrid>
        <w:gridCol w:w="2088"/>
        <w:gridCol w:w="3139"/>
        <w:gridCol w:w="2908"/>
        <w:gridCol w:w="1742"/>
      </w:tblGrid>
      <w:tr>
        <w:trPr>
          <w:tblHeader w:val="true"/>
        </w:trPr>
        <w:tc>
          <w:tcPr>
            <w:tcW w:type="dxa" w:w="2088"/>
            <w:shd w:fill="17365D"/>
            <w:tcMar>
              <w:top w:w="90" w:type="dxa"/>
              <w:start w:w="120" w:type="dxa"/>
              <w:bottom w:w="90" w:type="dxa"/>
              <w:end w:w="120" w:type="dxa"/>
            </w:tcMar>
            <w:vAlign w:val="center"/>
          </w:tcPr>
          <w:p>
            <w:pPr>
              <w:widowControl/>
              <w:jc w:val="left"/>
            </w:pPr>
            <w:r>
              <w:rPr>
                <w:rFonts w:ascii="Calibri" w:hAnsi="Calibri"/>
                <w:b/>
                <w:color w:val="FFFFFF"/>
                <w:sz w:val="15"/>
              </w:rPr>
              <w:t>Dimension</w:t>
            </w:r>
          </w:p>
        </w:tc>
        <w:tc>
          <w:tcPr>
            <w:tcW w:type="dxa" w:w="3139"/>
            <w:shd w:fill="17365D"/>
            <w:tcMar>
              <w:top w:w="90" w:type="dxa"/>
              <w:start w:w="120" w:type="dxa"/>
              <w:bottom w:w="90" w:type="dxa"/>
              <w:end w:w="120" w:type="dxa"/>
            </w:tcMar>
            <w:vAlign w:val="center"/>
          </w:tcPr>
          <w:p>
            <w:pPr>
              <w:widowControl/>
              <w:jc w:val="left"/>
            </w:pPr>
            <w:r>
              <w:rPr>
                <w:rFonts w:ascii="Calibri" w:hAnsi="Calibri"/>
                <w:b/>
                <w:color w:val="FFFFFF"/>
                <w:sz w:val="15"/>
              </w:rPr>
              <w:t>Tolerance / threshold</w:t>
            </w:r>
          </w:p>
        </w:tc>
        <w:tc>
          <w:tcPr>
            <w:tcW w:type="dxa" w:w="2908"/>
            <w:shd w:fill="17365D"/>
            <w:tcMar>
              <w:top w:w="90" w:type="dxa"/>
              <w:start w:w="120" w:type="dxa"/>
              <w:bottom w:w="90" w:type="dxa"/>
              <w:end w:w="120" w:type="dxa"/>
            </w:tcMar>
            <w:vAlign w:val="center"/>
          </w:tcPr>
          <w:p>
            <w:pPr>
              <w:widowControl/>
              <w:jc w:val="left"/>
            </w:pPr>
            <w:r>
              <w:rPr>
                <w:rFonts w:ascii="Calibri" w:hAnsi="Calibri"/>
                <w:b/>
                <w:color w:val="FFFFFF"/>
                <w:sz w:val="15"/>
              </w:rPr>
              <w:t>Indicator and source</w:t>
            </w:r>
          </w:p>
        </w:tc>
        <w:tc>
          <w:tcPr>
            <w:tcW w:type="dxa" w:w="1742"/>
            <w:shd w:fill="17365D"/>
            <w:tcMar>
              <w:top w:w="90" w:type="dxa"/>
              <w:start w:w="120" w:type="dxa"/>
              <w:bottom w:w="90" w:type="dxa"/>
              <w:end w:w="120" w:type="dxa"/>
            </w:tcMar>
            <w:vAlign w:val="center"/>
          </w:tcPr>
          <w:p>
            <w:pPr>
              <w:widowControl/>
              <w:jc w:val="left"/>
            </w:pPr>
            <w:r>
              <w:rPr>
                <w:rFonts w:ascii="Calibri" w:hAnsi="Calibri"/>
                <w:b/>
                <w:color w:val="FFFFFF"/>
                <w:sz w:val="15"/>
              </w:rPr>
              <w:t>Escalation</w:t>
            </w:r>
          </w:p>
        </w:tc>
      </w:tr>
      <w:tr>
        <w:trPr>
          <w:cantSplit/>
        </w:trPr>
        <w:tc>
          <w:tcPr>
            <w:tcW w:type="dxa" w:w="2088"/>
            <w:tcMar>
              <w:top w:w="90" w:type="dxa"/>
              <w:start w:w="120" w:type="dxa"/>
              <w:bottom w:w="90" w:type="dxa"/>
              <w:end w:w="120" w:type="dxa"/>
            </w:tcMar>
            <w:vAlign w:val="center"/>
          </w:tcPr>
          <w:p>
            <w:pPr>
              <w:widowControl/>
              <w:spacing w:after="0"/>
            </w:pPr>
            <w:r>
              <w:rPr>
                <w:rFonts w:ascii="Calibri" w:hAnsi="Calibri"/>
                <w:sz w:val="15"/>
              </w:rPr>
              <w:t>Availability of critical functions</w:t>
            </w:r>
          </w:p>
        </w:tc>
        <w:tc>
          <w:tcPr>
            <w:tcW w:type="dxa" w:w="3139"/>
            <w:tcMar>
              <w:top w:w="90" w:type="dxa"/>
              <w:start w:w="120" w:type="dxa"/>
              <w:bottom w:w="90" w:type="dxa"/>
              <w:end w:w="120" w:type="dxa"/>
            </w:tcMar>
            <w:vAlign w:val="center"/>
          </w:tcPr>
          <w:p>
            <w:pPr>
              <w:widowControl/>
              <w:spacing w:after="0"/>
            </w:pPr>
            <w:r>
              <w:rPr>
                <w:rFonts w:ascii="Calibri" w:hAnsi="Calibri"/>
                <w:sz w:val="15"/>
              </w:rPr>
              <w:t>[E.G. MAXIMUM UNPLANNED OUTAGE / RTO]</w:t>
            </w:r>
          </w:p>
        </w:tc>
        <w:tc>
          <w:tcPr>
            <w:tcW w:type="dxa" w:w="2908"/>
            <w:tcMar>
              <w:top w:w="90" w:type="dxa"/>
              <w:start w:w="120" w:type="dxa"/>
              <w:bottom w:w="90" w:type="dxa"/>
              <w:end w:w="120" w:type="dxa"/>
            </w:tcMar>
            <w:vAlign w:val="center"/>
          </w:tcPr>
          <w:p>
            <w:pPr>
              <w:widowControl/>
              <w:spacing w:after="0"/>
            </w:pPr>
            <w:r>
              <w:rPr>
                <w:rFonts w:ascii="Calibri" w:hAnsi="Calibri"/>
                <w:sz w:val="15"/>
              </w:rPr>
              <w:t>[UPTIME, INCIDENT AND BCP DATA]</w:t>
            </w:r>
          </w:p>
        </w:tc>
        <w:tc>
          <w:tcPr>
            <w:tcW w:type="dxa" w:w="1742"/>
            <w:tcMar>
              <w:top w:w="90" w:type="dxa"/>
              <w:start w:w="120" w:type="dxa"/>
              <w:bottom w:w="90" w:type="dxa"/>
              <w:end w:w="120" w:type="dxa"/>
            </w:tcMar>
            <w:vAlign w:val="center"/>
          </w:tcPr>
          <w:p>
            <w:pPr>
              <w:widowControl/>
              <w:spacing w:after="0"/>
            </w:pPr>
            <w:r>
              <w:rPr>
                <w:rFonts w:ascii="Calibri" w:hAnsi="Calibri"/>
                <w:sz w:val="15"/>
              </w:rPr>
              <w:t>[IMMEDIATE / MONTHLY]</w:t>
            </w:r>
          </w:p>
        </w:tc>
      </w:tr>
      <w:tr>
        <w:trPr>
          <w:cantSplit/>
        </w:trPr>
        <w:tc>
          <w:tcPr>
            <w:tcW w:type="dxa" w:w="2088"/>
            <w:tcMar>
              <w:top w:w="90" w:type="dxa"/>
              <w:start w:w="120" w:type="dxa"/>
              <w:bottom w:w="90" w:type="dxa"/>
              <w:end w:w="120" w:type="dxa"/>
            </w:tcMar>
            <w:vAlign w:val="center"/>
            <w:shd w:fill="F8FAFC"/>
          </w:tcPr>
          <w:p>
            <w:pPr>
              <w:widowControl/>
              <w:spacing w:after="0"/>
            </w:pPr>
            <w:r>
              <w:rPr>
                <w:rFonts w:ascii="Calibri" w:hAnsi="Calibri"/>
                <w:sz w:val="15"/>
              </w:rPr>
              <w:t>Data loss</w:t>
            </w:r>
          </w:p>
        </w:tc>
        <w:tc>
          <w:tcPr>
            <w:tcW w:type="dxa" w:w="3139"/>
            <w:tcMar>
              <w:top w:w="90" w:type="dxa"/>
              <w:start w:w="120" w:type="dxa"/>
              <w:bottom w:w="90" w:type="dxa"/>
              <w:end w:w="120" w:type="dxa"/>
            </w:tcMar>
            <w:vAlign w:val="center"/>
            <w:shd w:fill="F8FAFC"/>
          </w:tcPr>
          <w:p>
            <w:pPr>
              <w:widowControl/>
              <w:spacing w:after="0"/>
            </w:pPr>
            <w:r>
              <w:rPr>
                <w:rFonts w:ascii="Calibri" w:hAnsi="Calibri"/>
                <w:sz w:val="15"/>
              </w:rPr>
              <w:t>[E.G. RPO / NO IRRECOVERABLE LOSS OF CLIENT RECORDS]</w:t>
            </w:r>
          </w:p>
        </w:tc>
        <w:tc>
          <w:tcPr>
            <w:tcW w:type="dxa" w:w="2908"/>
            <w:tcMar>
              <w:top w:w="90" w:type="dxa"/>
              <w:start w:w="120" w:type="dxa"/>
              <w:bottom w:w="90" w:type="dxa"/>
              <w:end w:w="120" w:type="dxa"/>
            </w:tcMar>
            <w:vAlign w:val="center"/>
            <w:shd w:fill="F8FAFC"/>
          </w:tcPr>
          <w:p>
            <w:pPr>
              <w:widowControl/>
              <w:spacing w:after="0"/>
            </w:pPr>
            <w:r>
              <w:rPr>
                <w:rFonts w:ascii="Calibri" w:hAnsi="Calibri"/>
                <w:sz w:val="15"/>
              </w:rPr>
              <w:t>[BACKUP AND RESTORE REPORT]</w:t>
            </w:r>
          </w:p>
        </w:tc>
        <w:tc>
          <w:tcPr>
            <w:tcW w:type="dxa" w:w="1742"/>
            <w:tcMar>
              <w:top w:w="90" w:type="dxa"/>
              <w:start w:w="120" w:type="dxa"/>
              <w:bottom w:w="90" w:type="dxa"/>
              <w:end w:w="120" w:type="dxa"/>
            </w:tcMar>
            <w:vAlign w:val="center"/>
            <w:shd w:fill="F8FAFC"/>
          </w:tcPr>
          <w:p>
            <w:pPr>
              <w:widowControl/>
              <w:spacing w:after="0"/>
            </w:pPr>
            <w:r>
              <w:rPr>
                <w:rFonts w:ascii="Calibri" w:hAnsi="Calibri"/>
                <w:sz w:val="15"/>
              </w:rPr>
              <w:t>[IMMEDIATE]</w:t>
            </w:r>
          </w:p>
        </w:tc>
      </w:tr>
      <w:tr>
        <w:trPr>
          <w:cantSplit/>
        </w:trPr>
        <w:tc>
          <w:tcPr>
            <w:tcW w:type="dxa" w:w="2088"/>
            <w:tcMar>
              <w:top w:w="90" w:type="dxa"/>
              <w:start w:w="120" w:type="dxa"/>
              <w:bottom w:w="90" w:type="dxa"/>
              <w:end w:w="120" w:type="dxa"/>
            </w:tcMar>
            <w:vAlign w:val="center"/>
          </w:tcPr>
          <w:p>
            <w:pPr>
              <w:widowControl/>
              <w:spacing w:after="0"/>
            </w:pPr>
            <w:r>
              <w:rPr>
                <w:rFonts w:ascii="Calibri" w:hAnsi="Calibri"/>
                <w:sz w:val="15"/>
              </w:rPr>
              <w:t>Confidentiality / access</w:t>
            </w:r>
          </w:p>
        </w:tc>
        <w:tc>
          <w:tcPr>
            <w:tcW w:type="dxa" w:w="3139"/>
            <w:tcMar>
              <w:top w:w="90" w:type="dxa"/>
              <w:start w:w="120" w:type="dxa"/>
              <w:bottom w:w="90" w:type="dxa"/>
              <w:end w:w="120" w:type="dxa"/>
            </w:tcMar>
            <w:vAlign w:val="center"/>
          </w:tcPr>
          <w:p>
            <w:pPr>
              <w:widowControl/>
              <w:spacing w:after="0"/>
            </w:pPr>
            <w:r>
              <w:rPr>
                <w:rFonts w:ascii="Calibri" w:hAnsi="Calibri"/>
                <w:sz w:val="15"/>
              </w:rPr>
              <w:t>[E.G. ZERO UNAUTHORISED PRIVILEGED ACCESS]</w:t>
            </w:r>
          </w:p>
        </w:tc>
        <w:tc>
          <w:tcPr>
            <w:tcW w:type="dxa" w:w="2908"/>
            <w:tcMar>
              <w:top w:w="90" w:type="dxa"/>
              <w:start w:w="120" w:type="dxa"/>
              <w:bottom w:w="90" w:type="dxa"/>
              <w:end w:w="120" w:type="dxa"/>
            </w:tcMar>
            <w:vAlign w:val="center"/>
          </w:tcPr>
          <w:p>
            <w:pPr>
              <w:widowControl/>
              <w:spacing w:after="0"/>
            </w:pPr>
            <w:r>
              <w:rPr>
                <w:rFonts w:ascii="Calibri" w:hAnsi="Calibri"/>
                <w:sz w:val="15"/>
              </w:rPr>
              <w:t>[ACCESS AND SECURITY LOGS]</w:t>
            </w:r>
          </w:p>
        </w:tc>
        <w:tc>
          <w:tcPr>
            <w:tcW w:type="dxa" w:w="1742"/>
            <w:tcMar>
              <w:top w:w="90" w:type="dxa"/>
              <w:start w:w="120" w:type="dxa"/>
              <w:bottom w:w="90" w:type="dxa"/>
              <w:end w:w="120" w:type="dxa"/>
            </w:tcMar>
            <w:vAlign w:val="center"/>
          </w:tcPr>
          <w:p>
            <w:pPr>
              <w:widowControl/>
              <w:spacing w:after="0"/>
            </w:pPr>
            <w:r>
              <w:rPr>
                <w:rFonts w:ascii="Calibri" w:hAnsi="Calibri"/>
                <w:sz w:val="15"/>
              </w:rPr>
              <w:t>[IMMEDIATE]</w:t>
            </w:r>
          </w:p>
        </w:tc>
      </w:tr>
      <w:tr>
        <w:trPr>
          <w:cantSplit/>
        </w:trPr>
        <w:tc>
          <w:tcPr>
            <w:tcW w:type="dxa" w:w="2088"/>
            <w:tcMar>
              <w:top w:w="90" w:type="dxa"/>
              <w:start w:w="120" w:type="dxa"/>
              <w:bottom w:w="90" w:type="dxa"/>
              <w:end w:w="120" w:type="dxa"/>
            </w:tcMar>
            <w:vAlign w:val="center"/>
            <w:shd w:fill="F8FAFC"/>
          </w:tcPr>
          <w:p>
            <w:pPr>
              <w:widowControl/>
              <w:spacing w:after="0"/>
            </w:pPr>
            <w:r>
              <w:rPr>
                <w:rFonts w:ascii="Calibri" w:hAnsi="Calibri"/>
                <w:sz w:val="15"/>
              </w:rPr>
              <w:t>Critical vulnerabilities</w:t>
            </w:r>
          </w:p>
        </w:tc>
        <w:tc>
          <w:tcPr>
            <w:tcW w:type="dxa" w:w="3139"/>
            <w:tcMar>
              <w:top w:w="90" w:type="dxa"/>
              <w:start w:w="120" w:type="dxa"/>
              <w:bottom w:w="90" w:type="dxa"/>
              <w:end w:w="120" w:type="dxa"/>
            </w:tcMar>
            <w:vAlign w:val="center"/>
            <w:shd w:fill="F8FAFC"/>
          </w:tcPr>
          <w:p>
            <w:pPr>
              <w:widowControl/>
              <w:spacing w:after="0"/>
            </w:pPr>
            <w:r>
              <w:rPr>
                <w:rFonts w:ascii="Calibri" w:hAnsi="Calibri"/>
                <w:sz w:val="15"/>
              </w:rPr>
              <w:t>[MAX AGE / REMEDIATION TIME]</w:t>
            </w:r>
          </w:p>
        </w:tc>
        <w:tc>
          <w:tcPr>
            <w:tcW w:type="dxa" w:w="2908"/>
            <w:tcMar>
              <w:top w:w="90" w:type="dxa"/>
              <w:start w:w="120" w:type="dxa"/>
              <w:bottom w:w="90" w:type="dxa"/>
              <w:end w:w="120" w:type="dxa"/>
            </w:tcMar>
            <w:vAlign w:val="center"/>
            <w:shd w:fill="F8FAFC"/>
          </w:tcPr>
          <w:p>
            <w:pPr>
              <w:widowControl/>
              <w:spacing w:after="0"/>
            </w:pPr>
            <w:r>
              <w:rPr>
                <w:rFonts w:ascii="Calibri" w:hAnsi="Calibri"/>
                <w:sz w:val="15"/>
              </w:rPr>
              <w:t>[VULNERABILITY / PATCH REPORT]</w:t>
            </w:r>
          </w:p>
        </w:tc>
        <w:tc>
          <w:tcPr>
            <w:tcW w:type="dxa" w:w="1742"/>
            <w:tcMar>
              <w:top w:w="90" w:type="dxa"/>
              <w:start w:w="120" w:type="dxa"/>
              <w:bottom w:w="90" w:type="dxa"/>
              <w:end w:w="120" w:type="dxa"/>
            </w:tcMar>
            <w:vAlign w:val="center"/>
            <w:shd w:fill="F8FAFC"/>
          </w:tcPr>
          <w:p>
            <w:pPr>
              <w:widowControl/>
              <w:spacing w:after="0"/>
            </w:pPr>
            <w:r>
              <w:rPr>
                <w:rFonts w:ascii="Calibri" w:hAnsi="Calibri"/>
                <w:sz w:val="15"/>
              </w:rPr>
              <w:t>[THRESHOLD-BASED]</w:t>
            </w:r>
          </w:p>
        </w:tc>
      </w:tr>
      <w:tr>
        <w:trPr>
          <w:cantSplit/>
        </w:trPr>
        <w:tc>
          <w:tcPr>
            <w:tcW w:type="dxa" w:w="2088"/>
            <w:tcMar>
              <w:top w:w="90" w:type="dxa"/>
              <w:start w:w="120" w:type="dxa"/>
              <w:bottom w:w="90" w:type="dxa"/>
              <w:end w:w="120" w:type="dxa"/>
            </w:tcMar>
            <w:vAlign w:val="center"/>
          </w:tcPr>
          <w:p>
            <w:pPr>
              <w:widowControl/>
              <w:spacing w:after="0"/>
            </w:pPr>
            <w:r>
              <w:rPr>
                <w:rFonts w:ascii="Calibri" w:hAnsi="Calibri"/>
                <w:sz w:val="15"/>
              </w:rPr>
              <w:t>Major ICT incidents</w:t>
            </w:r>
          </w:p>
        </w:tc>
        <w:tc>
          <w:tcPr>
            <w:tcW w:type="dxa" w:w="3139"/>
            <w:tcMar>
              <w:top w:w="90" w:type="dxa"/>
              <w:start w:w="120" w:type="dxa"/>
              <w:bottom w:w="90" w:type="dxa"/>
              <w:end w:w="120" w:type="dxa"/>
            </w:tcMar>
            <w:vAlign w:val="center"/>
          </w:tcPr>
          <w:p>
            <w:pPr>
              <w:widowControl/>
              <w:spacing w:after="0"/>
            </w:pPr>
            <w:r>
              <w:rPr>
                <w:rFonts w:ascii="Calibri" w:hAnsi="Calibri"/>
                <w:sz w:val="15"/>
              </w:rPr>
              <w:t>[ZERO UNTREATED / REPORTING WITHIN LEGAL CLOCK]</w:t>
            </w:r>
          </w:p>
        </w:tc>
        <w:tc>
          <w:tcPr>
            <w:tcW w:type="dxa" w:w="2908"/>
            <w:tcMar>
              <w:top w:w="90" w:type="dxa"/>
              <w:start w:w="120" w:type="dxa"/>
              <w:bottom w:w="90" w:type="dxa"/>
              <w:end w:w="120" w:type="dxa"/>
            </w:tcMar>
            <w:vAlign w:val="center"/>
          </w:tcPr>
          <w:p>
            <w:pPr>
              <w:widowControl/>
              <w:spacing w:after="0"/>
            </w:pPr>
            <w:r>
              <w:rPr>
                <w:rFonts w:ascii="Calibri" w:hAnsi="Calibri"/>
                <w:sz w:val="15"/>
              </w:rPr>
              <w:t>[D07 INCIDENT REGISTER]</w:t>
            </w:r>
          </w:p>
        </w:tc>
        <w:tc>
          <w:tcPr>
            <w:tcW w:type="dxa" w:w="1742"/>
            <w:tcMar>
              <w:top w:w="90" w:type="dxa"/>
              <w:start w:w="120" w:type="dxa"/>
              <w:bottom w:w="90" w:type="dxa"/>
              <w:end w:w="120" w:type="dxa"/>
            </w:tcMar>
            <w:vAlign w:val="center"/>
          </w:tcPr>
          <w:p>
            <w:pPr>
              <w:widowControl/>
              <w:spacing w:after="0"/>
            </w:pPr>
            <w:r>
              <w:rPr>
                <w:rFonts w:ascii="Calibri" w:hAnsi="Calibri"/>
                <w:sz w:val="15"/>
              </w:rPr>
              <w:t>[IMMEDIATE]</w:t>
            </w:r>
          </w:p>
        </w:tc>
      </w:tr>
      <w:tr>
        <w:trPr>
          <w:cantSplit/>
        </w:trPr>
        <w:tc>
          <w:tcPr>
            <w:tcW w:type="dxa" w:w="2088"/>
            <w:tcMar>
              <w:top w:w="90" w:type="dxa"/>
              <w:start w:w="120" w:type="dxa"/>
              <w:bottom w:w="90" w:type="dxa"/>
              <w:end w:w="120" w:type="dxa"/>
            </w:tcMar>
            <w:vAlign w:val="center"/>
            <w:shd w:fill="F8FAFC"/>
          </w:tcPr>
          <w:p>
            <w:pPr>
              <w:widowControl/>
              <w:spacing w:after="0"/>
            </w:pPr>
            <w:r>
              <w:rPr>
                <w:rFonts w:ascii="Calibri" w:hAnsi="Calibri"/>
                <w:sz w:val="15"/>
              </w:rPr>
              <w:t>Critical-provider dependency</w:t>
            </w:r>
          </w:p>
        </w:tc>
        <w:tc>
          <w:tcPr>
            <w:tcW w:type="dxa" w:w="3139"/>
            <w:tcMar>
              <w:top w:w="90" w:type="dxa"/>
              <w:start w:w="120" w:type="dxa"/>
              <w:bottom w:w="90" w:type="dxa"/>
              <w:end w:w="120" w:type="dxa"/>
            </w:tcMar>
            <w:vAlign w:val="center"/>
            <w:shd w:fill="F8FAFC"/>
          </w:tcPr>
          <w:p>
            <w:pPr>
              <w:widowControl/>
              <w:spacing w:after="0"/>
            </w:pPr>
            <w:r>
              <w:rPr>
                <w:rFonts w:ascii="Calibri" w:hAnsi="Calibri"/>
                <w:sz w:val="15"/>
              </w:rPr>
              <w:t>[MAX ACCEPTABLE UNMITIGATED CONCENTRATION]</w:t>
            </w:r>
          </w:p>
        </w:tc>
        <w:tc>
          <w:tcPr>
            <w:tcW w:type="dxa" w:w="2908"/>
            <w:tcMar>
              <w:top w:w="90" w:type="dxa"/>
              <w:start w:w="120" w:type="dxa"/>
              <w:bottom w:w="90" w:type="dxa"/>
              <w:end w:w="120" w:type="dxa"/>
            </w:tcMar>
            <w:vAlign w:val="center"/>
            <w:shd w:fill="F8FAFC"/>
          </w:tcPr>
          <w:p>
            <w:pPr>
              <w:widowControl/>
              <w:spacing w:after="0"/>
            </w:pPr>
            <w:r>
              <w:rPr>
                <w:rFonts w:ascii="Calibri" w:hAnsi="Calibri"/>
                <w:sz w:val="15"/>
              </w:rPr>
              <w:t>[D11 PROVIDER PACK]</w:t>
            </w:r>
          </w:p>
        </w:tc>
        <w:tc>
          <w:tcPr>
            <w:tcW w:type="dxa" w:w="1742"/>
            <w:tcMar>
              <w:top w:w="90" w:type="dxa"/>
              <w:start w:w="120" w:type="dxa"/>
              <w:bottom w:w="90" w:type="dxa"/>
              <w:end w:w="120" w:type="dxa"/>
            </w:tcMar>
            <w:vAlign w:val="center"/>
            <w:shd w:fill="F8FAFC"/>
          </w:tcPr>
          <w:p>
            <w:pPr>
              <w:widowControl/>
              <w:spacing w:after="0"/>
            </w:pPr>
            <w:r>
              <w:rPr>
                <w:rFonts w:ascii="Calibri" w:hAnsi="Calibri"/>
                <w:sz w:val="15"/>
              </w:rPr>
              <w:t>[ON CHANGE / QUARTERLY]</w:t>
            </w:r>
          </w:p>
        </w:tc>
      </w:tr>
      <w:tr>
        <w:trPr>
          <w:cantSplit/>
        </w:trPr>
        <w:tc>
          <w:tcPr>
            <w:tcW w:type="dxa" w:w="2088"/>
            <w:tcMar>
              <w:top w:w="90" w:type="dxa"/>
              <w:start w:w="120" w:type="dxa"/>
              <w:bottom w:w="90" w:type="dxa"/>
              <w:end w:w="120" w:type="dxa"/>
            </w:tcMar>
            <w:vAlign w:val="center"/>
          </w:tcPr>
          <w:p>
            <w:pPr>
              <w:widowControl/>
              <w:spacing w:after="0"/>
            </w:pPr>
            <w:r>
              <w:rPr>
                <w:rFonts w:ascii="Calibri" w:hAnsi="Calibri"/>
                <w:sz w:val="15"/>
              </w:rPr>
              <w:t>Control evidence</w:t>
            </w:r>
          </w:p>
        </w:tc>
        <w:tc>
          <w:tcPr>
            <w:tcW w:type="dxa" w:w="3139"/>
            <w:tcMar>
              <w:top w:w="90" w:type="dxa"/>
              <w:start w:w="120" w:type="dxa"/>
              <w:bottom w:w="90" w:type="dxa"/>
              <w:end w:w="120" w:type="dxa"/>
            </w:tcMar>
            <w:vAlign w:val="center"/>
          </w:tcPr>
          <w:p>
            <w:pPr>
              <w:widowControl/>
              <w:spacing w:after="0"/>
            </w:pPr>
            <w:r>
              <w:rPr>
                <w:rFonts w:ascii="Calibri" w:hAnsi="Calibri"/>
                <w:sz w:val="15"/>
              </w:rPr>
              <w:t>[NO CRITICAL CONTROL WITHOUT CURRENT EVIDENCE]</w:t>
            </w:r>
          </w:p>
        </w:tc>
        <w:tc>
          <w:tcPr>
            <w:tcW w:type="dxa" w:w="2908"/>
            <w:tcMar>
              <w:top w:w="90" w:type="dxa"/>
              <w:start w:w="120" w:type="dxa"/>
              <w:bottom w:w="90" w:type="dxa"/>
              <w:end w:w="120" w:type="dxa"/>
            </w:tcMar>
            <w:vAlign w:val="center"/>
          </w:tcPr>
          <w:p>
            <w:pPr>
              <w:widowControl/>
              <w:spacing w:after="0"/>
            </w:pPr>
            <w:r>
              <w:rPr>
                <w:rFonts w:ascii="Calibri" w:hAnsi="Calibri"/>
                <w:sz w:val="15"/>
              </w:rPr>
              <w:t>[D14 EVIDENCE REGISTER]</w:t>
            </w:r>
          </w:p>
        </w:tc>
        <w:tc>
          <w:tcPr>
            <w:tcW w:type="dxa" w:w="1742"/>
            <w:tcMar>
              <w:top w:w="90" w:type="dxa"/>
              <w:start w:w="120" w:type="dxa"/>
              <w:bottom w:w="90" w:type="dxa"/>
              <w:end w:w="120" w:type="dxa"/>
            </w:tcMar>
            <w:vAlign w:val="center"/>
          </w:tcPr>
          <w:p>
            <w:pPr>
              <w:widowControl/>
              <w:spacing w:after="0"/>
            </w:pPr>
            <w:r>
              <w:rPr>
                <w:rFonts w:ascii="Calibri" w:hAnsi="Calibri"/>
                <w:sz w:val="15"/>
              </w:rPr>
              <w:t>[MONTHLY / QUARTERLY]</w:t>
            </w:r>
          </w:p>
        </w:tc>
      </w:tr>
    </w:tbl>
    <w:p>
      <w:pPr>
        <w:widowControl/>
        <w:spacing w:after="0"/>
      </w:pPr>
    </w:p>
    <w:p>
      <w:pPr>
        <w:pStyle w:val="Heading2"/>
        <w:widowControl/>
      </w:pPr>
      <w:r>
        <w:t>6.3 Risk acceptance authority</w:t>
      </w:r>
    </w:p>
    <w:tbl>
      <w:tblPr>
        <w:tblStyle w:val="TableGrid"/>
        <w:tblW w:type="auto" w:w="0"/>
        <w:jc w:val="center"/>
        <w:tblLayout w:type="fixed"/>
        <w:tblLook w:firstColumn="1" w:firstRow="1" w:lastColumn="0" w:lastRow="0" w:noHBand="0" w:noVBand="1" w:val="04A0"/>
      </w:tblPr>
      <w:tblGrid>
        <w:gridCol w:w="2088"/>
        <w:gridCol w:w="5630"/>
        <w:gridCol w:w="2160"/>
      </w:tblGrid>
      <w:tr>
        <w:trPr>
          <w:tblHeader w:val="true"/>
        </w:trPr>
        <w:tc>
          <w:tcPr>
            <w:tcW w:type="dxa" w:w="2088"/>
            <w:shd w:fill="17365D"/>
            <w:tcMar>
              <w:top w:w="90" w:type="dxa"/>
              <w:start w:w="120" w:type="dxa"/>
              <w:bottom w:w="90" w:type="dxa"/>
              <w:end w:w="120" w:type="dxa"/>
            </w:tcMar>
            <w:vAlign w:val="center"/>
          </w:tcPr>
          <w:p>
            <w:pPr>
              <w:widowControl/>
              <w:jc w:val="left"/>
            </w:pPr>
            <w:r>
              <w:rPr>
                <w:rFonts w:ascii="Calibri" w:hAnsi="Calibri"/>
                <w:b/>
                <w:color w:val="FFFFFF"/>
                <w:sz w:val="17"/>
              </w:rPr>
              <w:t>Residual risk level</w:t>
            </w:r>
          </w:p>
        </w:tc>
        <w:tc>
          <w:tcPr>
            <w:tcW w:type="dxa" w:w="5630"/>
            <w:shd w:fill="17365D"/>
            <w:tcMar>
              <w:top w:w="90" w:type="dxa"/>
              <w:start w:w="120" w:type="dxa"/>
              <w:bottom w:w="90" w:type="dxa"/>
              <w:end w:w="120" w:type="dxa"/>
            </w:tcMar>
            <w:vAlign w:val="center"/>
          </w:tcPr>
          <w:p>
            <w:pPr>
              <w:widowControl/>
              <w:jc w:val="left"/>
            </w:pPr>
            <w:r>
              <w:rPr>
                <w:rFonts w:ascii="Calibri" w:hAnsi="Calibri"/>
                <w:b/>
                <w:color w:val="FFFFFF"/>
                <w:sz w:val="17"/>
              </w:rPr>
              <w:t>Acceptance authority</w:t>
            </w:r>
          </w:p>
        </w:tc>
        <w:tc>
          <w:tcPr>
            <w:tcW w:type="dxa" w:w="2160"/>
            <w:shd w:fill="17365D"/>
            <w:tcMar>
              <w:top w:w="90" w:type="dxa"/>
              <w:start w:w="120" w:type="dxa"/>
              <w:bottom w:w="90" w:type="dxa"/>
              <w:end w:w="120" w:type="dxa"/>
            </w:tcMar>
            <w:vAlign w:val="center"/>
          </w:tcPr>
          <w:p>
            <w:pPr>
              <w:widowControl/>
              <w:jc w:val="left"/>
            </w:pPr>
            <w:r>
              <w:rPr>
                <w:rFonts w:ascii="Calibri" w:hAnsi="Calibri"/>
                <w:b/>
                <w:color w:val="FFFFFF"/>
                <w:sz w:val="17"/>
              </w:rPr>
              <w:t>Maximum period / review</w:t>
            </w:r>
          </w:p>
        </w:tc>
      </w:tr>
      <w:tr>
        <w:trPr>
          <w:cantSplit/>
        </w:trPr>
        <w:tc>
          <w:tcPr>
            <w:tcW w:type="dxa" w:w="2088"/>
            <w:tcMar>
              <w:top w:w="90" w:type="dxa"/>
              <w:start w:w="120" w:type="dxa"/>
              <w:bottom w:w="90" w:type="dxa"/>
              <w:end w:w="120" w:type="dxa"/>
            </w:tcMar>
            <w:vAlign w:val="center"/>
          </w:tcPr>
          <w:p>
            <w:pPr>
              <w:widowControl/>
              <w:spacing w:after="0"/>
            </w:pPr>
            <w:r>
              <w:rPr>
                <w:rFonts w:ascii="Calibri" w:hAnsi="Calibri"/>
                <w:sz w:val="17"/>
              </w:rPr>
              <w:t>Low</w:t>
            </w:r>
          </w:p>
        </w:tc>
        <w:tc>
          <w:tcPr>
            <w:tcW w:type="dxa" w:w="5630"/>
            <w:tcMar>
              <w:top w:w="90" w:type="dxa"/>
              <w:start w:w="120" w:type="dxa"/>
              <w:bottom w:w="90" w:type="dxa"/>
              <w:end w:w="120" w:type="dxa"/>
            </w:tcMar>
            <w:vAlign w:val="center"/>
          </w:tcPr>
          <w:p>
            <w:pPr>
              <w:widowControl/>
              <w:spacing w:after="0"/>
            </w:pPr>
            <w:r>
              <w:rPr>
                <w:rFonts w:ascii="Calibri" w:hAnsi="Calibri"/>
                <w:sz w:val="17"/>
              </w:rPr>
              <w:t>Business function owner</w:t>
            </w:r>
          </w:p>
        </w:tc>
        <w:tc>
          <w:tcPr>
            <w:tcW w:type="dxa" w:w="2160"/>
            <w:tcMar>
              <w:top w:w="90" w:type="dxa"/>
              <w:start w:w="120" w:type="dxa"/>
              <w:bottom w:w="90" w:type="dxa"/>
              <w:end w:w="120" w:type="dxa"/>
            </w:tcMar>
            <w:vAlign w:val="center"/>
          </w:tcPr>
          <w:p>
            <w:pPr>
              <w:widowControl/>
              <w:spacing w:after="0"/>
            </w:pPr>
            <w:r>
              <w:rPr>
                <w:rFonts w:ascii="Calibri" w:hAnsi="Calibri"/>
                <w:sz w:val="17"/>
              </w:rPr>
              <w:t>[12 MONTHS / NEXT PERIODIC REVIEW]</w:t>
            </w:r>
          </w:p>
        </w:tc>
      </w:tr>
      <w:tr>
        <w:trPr>
          <w:cantSplit/>
        </w:trPr>
        <w:tc>
          <w:tcPr>
            <w:tcW w:type="dxa" w:w="2088"/>
            <w:tcMar>
              <w:top w:w="90" w:type="dxa"/>
              <w:start w:w="120" w:type="dxa"/>
              <w:bottom w:w="90" w:type="dxa"/>
              <w:end w:w="120" w:type="dxa"/>
            </w:tcMar>
            <w:vAlign w:val="center"/>
            <w:shd w:fill="F8FAFC"/>
          </w:tcPr>
          <w:p>
            <w:pPr>
              <w:widowControl/>
              <w:spacing w:after="0"/>
            </w:pPr>
            <w:r>
              <w:rPr>
                <w:rFonts w:ascii="Calibri" w:hAnsi="Calibri"/>
                <w:sz w:val="17"/>
              </w:rPr>
              <w:t>Moderate</w:t>
            </w:r>
          </w:p>
        </w:tc>
        <w:tc>
          <w:tcPr>
            <w:tcW w:type="dxa" w:w="5630"/>
            <w:tcMar>
              <w:top w:w="90" w:type="dxa"/>
              <w:start w:w="120" w:type="dxa"/>
              <w:bottom w:w="90" w:type="dxa"/>
              <w:end w:w="120" w:type="dxa"/>
            </w:tcMar>
            <w:vAlign w:val="center"/>
            <w:shd w:fill="F8FAFC"/>
          </w:tcPr>
          <w:p>
            <w:pPr>
              <w:widowControl/>
              <w:spacing w:after="0"/>
            </w:pPr>
            <w:r>
              <w:rPr>
                <w:rFonts w:ascii="Calibri" w:hAnsi="Calibri"/>
                <w:sz w:val="17"/>
              </w:rPr>
              <w:t>Executive accountable for DORA + control-function concurrence</w:t>
            </w:r>
          </w:p>
        </w:tc>
        <w:tc>
          <w:tcPr>
            <w:tcW w:type="dxa" w:w="2160"/>
            <w:tcMar>
              <w:top w:w="90" w:type="dxa"/>
              <w:start w:w="120" w:type="dxa"/>
              <w:bottom w:w="90" w:type="dxa"/>
              <w:end w:w="120" w:type="dxa"/>
            </w:tcMar>
            <w:vAlign w:val="center"/>
            <w:shd w:fill="F8FAFC"/>
          </w:tcPr>
          <w:p>
            <w:pPr>
              <w:widowControl/>
              <w:spacing w:after="0"/>
            </w:pPr>
            <w:r>
              <w:rPr>
                <w:rFonts w:ascii="Calibri" w:hAnsi="Calibri"/>
                <w:sz w:val="17"/>
              </w:rPr>
              <w:t>[6 MONTHS]</w:t>
            </w:r>
          </w:p>
        </w:tc>
      </w:tr>
      <w:tr>
        <w:trPr>
          <w:cantSplit/>
        </w:trPr>
        <w:tc>
          <w:tcPr>
            <w:tcW w:type="dxa" w:w="2088"/>
            <w:tcMar>
              <w:top w:w="90" w:type="dxa"/>
              <w:start w:w="120" w:type="dxa"/>
              <w:bottom w:w="90" w:type="dxa"/>
              <w:end w:w="120" w:type="dxa"/>
            </w:tcMar>
            <w:vAlign w:val="center"/>
          </w:tcPr>
          <w:p>
            <w:pPr>
              <w:widowControl/>
              <w:spacing w:after="0"/>
            </w:pPr>
            <w:r>
              <w:rPr>
                <w:rFonts w:ascii="Calibri" w:hAnsi="Calibri"/>
                <w:sz w:val="17"/>
              </w:rPr>
              <w:t>High</w:t>
            </w:r>
          </w:p>
        </w:tc>
        <w:tc>
          <w:tcPr>
            <w:tcW w:type="dxa" w:w="5630"/>
            <w:tcMar>
              <w:top w:w="90" w:type="dxa"/>
              <w:start w:w="120" w:type="dxa"/>
              <w:bottom w:w="90" w:type="dxa"/>
              <w:end w:w="120" w:type="dxa"/>
            </w:tcMar>
            <w:vAlign w:val="center"/>
          </w:tcPr>
          <w:p>
            <w:pPr>
              <w:widowControl/>
              <w:spacing w:after="0"/>
            </w:pPr>
            <w:r>
              <w:rPr>
                <w:rFonts w:ascii="Calibri" w:hAnsi="Calibri"/>
                <w:sz w:val="17"/>
              </w:rPr>
              <w:t>Management body</w:t>
            </w:r>
          </w:p>
        </w:tc>
        <w:tc>
          <w:tcPr>
            <w:tcW w:type="dxa" w:w="2160"/>
            <w:tcMar>
              <w:top w:w="90" w:type="dxa"/>
              <w:start w:w="120" w:type="dxa"/>
              <w:bottom w:w="90" w:type="dxa"/>
              <w:end w:w="120" w:type="dxa"/>
            </w:tcMar>
            <w:vAlign w:val="center"/>
          </w:tcPr>
          <w:p>
            <w:pPr>
              <w:widowControl/>
              <w:spacing w:after="0"/>
            </w:pPr>
            <w:r>
              <w:rPr>
                <w:rFonts w:ascii="Calibri" w:hAnsi="Calibri"/>
                <w:sz w:val="17"/>
              </w:rPr>
              <w:t>[3 MONTHS / TIME-BOUND REMEDIATION]</w:t>
            </w:r>
          </w:p>
        </w:tc>
      </w:tr>
      <w:tr>
        <w:trPr>
          <w:cantSplit/>
        </w:trPr>
        <w:tc>
          <w:tcPr>
            <w:tcW w:type="dxa" w:w="2088"/>
            <w:tcMar>
              <w:top w:w="90" w:type="dxa"/>
              <w:start w:w="120" w:type="dxa"/>
              <w:bottom w:w="90" w:type="dxa"/>
              <w:end w:w="120" w:type="dxa"/>
            </w:tcMar>
            <w:vAlign w:val="center"/>
            <w:shd w:fill="F8FAFC"/>
          </w:tcPr>
          <w:p>
            <w:pPr>
              <w:widowControl/>
              <w:spacing w:after="0"/>
            </w:pPr>
            <w:r>
              <w:rPr>
                <w:rFonts w:ascii="Calibri" w:hAnsi="Calibri"/>
                <w:sz w:val="17"/>
              </w:rPr>
              <w:t>Critical / intolerable</w:t>
            </w:r>
          </w:p>
        </w:tc>
        <w:tc>
          <w:tcPr>
            <w:tcW w:type="dxa" w:w="5630"/>
            <w:tcMar>
              <w:top w:w="90" w:type="dxa"/>
              <w:start w:w="120" w:type="dxa"/>
              <w:bottom w:w="90" w:type="dxa"/>
              <w:end w:w="120" w:type="dxa"/>
            </w:tcMar>
            <w:vAlign w:val="center"/>
            <w:shd w:fill="F8FAFC"/>
          </w:tcPr>
          <w:p>
            <w:pPr>
              <w:widowControl/>
              <w:spacing w:after="0"/>
            </w:pPr>
            <w:r>
              <w:rPr>
                <w:rFonts w:ascii="Calibri" w:hAnsi="Calibri"/>
                <w:sz w:val="17"/>
              </w:rPr>
              <w:t>Not acceptable as BAU; immediate containment and management-body escalation</w:t>
            </w:r>
          </w:p>
        </w:tc>
        <w:tc>
          <w:tcPr>
            <w:tcW w:type="dxa" w:w="2160"/>
            <w:tcMar>
              <w:top w:w="90" w:type="dxa"/>
              <w:start w:w="120" w:type="dxa"/>
              <w:bottom w:w="90" w:type="dxa"/>
              <w:end w:w="120" w:type="dxa"/>
            </w:tcMar>
            <w:vAlign w:val="center"/>
            <w:shd w:fill="F8FAFC"/>
          </w:tcPr>
          <w:p>
            <w:pPr>
              <w:widowControl/>
              <w:spacing w:after="0"/>
            </w:pPr>
            <w:r>
              <w:rPr>
                <w:rFonts w:ascii="Calibri" w:hAnsi="Calibri"/>
                <w:sz w:val="17"/>
              </w:rPr>
              <w:t>Until contained; no permanent acceptance</w:t>
            </w:r>
          </w:p>
        </w:tc>
      </w:tr>
    </w:tbl>
    <w:p>
      <w:pPr>
        <w:widowControl/>
        <w:spacing w:after="0"/>
      </w:pPr>
    </w:p>
    <w:p>
      <w:pPr>
        <w:pStyle w:val="Heading1"/>
        <w:widowControl/>
      </w:pPr>
      <w:r>
        <w:t>7. ICT risk management process</w:t>
      </w:r>
    </w:p>
    <w:p>
      <w:pPr>
        <w:pStyle w:val="Heading2"/>
        <w:widowControl/>
      </w:pPr>
      <w:r>
        <w:t>7.1 Risk assessment cycle</w:t>
      </w:r>
    </w:p>
    <w:p>
      <w:pPr>
        <w:widowControl/>
      </w:pPr>
      <w:r>
        <w:t>The firm shall perform and document ICT risk assessment periodically, commensurate with its ICT risk profile, and whenever a trigger event occurs. The process shall:</w:t>
      </w:r>
    </w:p>
    <w:p>
      <w:pPr>
        <w:pStyle w:val="ListNumber"/>
        <w:widowControl/>
      </w:pPr>
      <w:r>
        <w:t>define the business function, information asset, ICT asset, service or change being assessed;</w:t>
      </w:r>
    </w:p>
    <w:p>
      <w:pPr>
        <w:pStyle w:val="ListNumber"/>
        <w:widowControl/>
      </w:pPr>
      <w:r>
        <w:t>identify relevant threats, vulnerabilities, dependencies and plausible risk scenarios;</w:t>
      </w:r>
    </w:p>
    <w:p>
      <w:pPr>
        <w:pStyle w:val="ListNumber"/>
        <w:widowControl/>
      </w:pPr>
      <w:r>
        <w:t>assess inherent likelihood and impact using the approved scales;</w:t>
      </w:r>
    </w:p>
    <w:p>
      <w:pPr>
        <w:pStyle w:val="ListNumber"/>
        <w:widowControl/>
      </w:pPr>
      <w:r>
        <w:t>identify existing controls and evaluate their design and operating effectiveness;</w:t>
      </w:r>
    </w:p>
    <w:p>
      <w:pPr>
        <w:pStyle w:val="ListNumber"/>
        <w:widowControl/>
      </w:pPr>
      <w:r>
        <w:t>determine residual risk and compare it with approved tolerance;</w:t>
      </w:r>
    </w:p>
    <w:p>
      <w:pPr>
        <w:pStyle w:val="ListNumber"/>
        <w:widowControl/>
      </w:pPr>
      <w:r>
        <w:t>define treatment, owner, due date and required evidence for risks outside tolerance;</w:t>
      </w:r>
    </w:p>
    <w:p>
      <w:pPr>
        <w:pStyle w:val="ListNumber"/>
        <w:widowControl/>
      </w:pPr>
      <w:r>
        <w:t>obtain acceptance at the authority level in section 6.3; and</w:t>
      </w:r>
    </w:p>
    <w:p>
      <w:pPr>
        <w:pStyle w:val="ListNumber"/>
        <w:widowControl/>
      </w:pPr>
      <w:r>
        <w:t>record the outcome in D03 and link it to D04, D07, D08, D11 and D14 as relevant.</w:t>
      </w:r>
    </w:p>
    <w:p>
      <w:pPr>
        <w:pStyle w:val="Heading2"/>
        <w:widowControl/>
      </w:pPr>
      <w:r>
        <w:t>7.2 Assessment scales</w:t>
      </w:r>
    </w:p>
    <w:tbl>
      <w:tblPr>
        <w:tblStyle w:val="TableGrid"/>
        <w:tblW w:type="auto" w:w="0"/>
        <w:jc w:val="center"/>
        <w:tblLayout w:type="fixed"/>
        <w:tblLook w:firstColumn="1" w:firstRow="1" w:lastColumn="0" w:lastRow="0" w:noHBand="0" w:noVBand="1" w:val="04A0"/>
      </w:tblPr>
      <w:tblGrid>
        <w:gridCol w:w="1224"/>
        <w:gridCol w:w="3671"/>
        <w:gridCol w:w="4982"/>
      </w:tblGrid>
      <w:tr>
        <w:trPr>
          <w:tblHeader w:val="true"/>
        </w:trPr>
        <w:tc>
          <w:tcPr>
            <w:tcW w:type="dxa" w:w="1224"/>
            <w:shd w:fill="17365D"/>
            <w:tcMar>
              <w:top w:w="90" w:type="dxa"/>
              <w:start w:w="120" w:type="dxa"/>
              <w:bottom w:w="90" w:type="dxa"/>
              <w:end w:w="120" w:type="dxa"/>
            </w:tcMar>
            <w:vAlign w:val="center"/>
          </w:tcPr>
          <w:p>
            <w:pPr>
              <w:widowControl/>
              <w:jc w:val="left"/>
            </w:pPr>
            <w:r>
              <w:rPr>
                <w:rFonts w:ascii="Calibri" w:hAnsi="Calibri"/>
                <w:b/>
                <w:color w:val="FFFFFF"/>
                <w:sz w:val="16"/>
              </w:rPr>
              <w:t>Score</w:t>
            </w:r>
          </w:p>
        </w:tc>
        <w:tc>
          <w:tcPr>
            <w:tcW w:type="dxa" w:w="3671"/>
            <w:shd w:fill="17365D"/>
            <w:tcMar>
              <w:top w:w="90" w:type="dxa"/>
              <w:start w:w="120" w:type="dxa"/>
              <w:bottom w:w="90" w:type="dxa"/>
              <w:end w:w="120" w:type="dxa"/>
            </w:tcMar>
            <w:vAlign w:val="center"/>
          </w:tcPr>
          <w:p>
            <w:pPr>
              <w:widowControl/>
              <w:jc w:val="left"/>
            </w:pPr>
            <w:r>
              <w:rPr>
                <w:rFonts w:ascii="Calibri" w:hAnsi="Calibri"/>
                <w:b/>
                <w:color w:val="FFFFFF"/>
                <w:sz w:val="16"/>
              </w:rPr>
              <w:t>Likelihood — illustrative calibration</w:t>
            </w:r>
          </w:p>
        </w:tc>
        <w:tc>
          <w:tcPr>
            <w:tcW w:type="dxa" w:w="4982"/>
            <w:shd w:fill="17365D"/>
            <w:tcMar>
              <w:top w:w="90" w:type="dxa"/>
              <w:start w:w="120" w:type="dxa"/>
              <w:bottom w:w="90" w:type="dxa"/>
              <w:end w:w="120" w:type="dxa"/>
            </w:tcMar>
            <w:vAlign w:val="center"/>
          </w:tcPr>
          <w:p>
            <w:pPr>
              <w:widowControl/>
              <w:jc w:val="left"/>
            </w:pPr>
            <w:r>
              <w:rPr>
                <w:rFonts w:ascii="Calibri" w:hAnsi="Calibri"/>
                <w:b/>
                <w:color w:val="FFFFFF"/>
                <w:sz w:val="16"/>
              </w:rPr>
              <w:t>Impact — highest applicable dimension</w:t>
            </w:r>
          </w:p>
        </w:tc>
      </w:tr>
      <w:tr>
        <w:trPr>
          <w:cantSplit/>
        </w:trPr>
        <w:tc>
          <w:tcPr>
            <w:tcW w:type="dxa" w:w="1224"/>
            <w:tcMar>
              <w:top w:w="90" w:type="dxa"/>
              <w:start w:w="120" w:type="dxa"/>
              <w:bottom w:w="90" w:type="dxa"/>
              <w:end w:w="120" w:type="dxa"/>
            </w:tcMar>
            <w:vAlign w:val="center"/>
          </w:tcPr>
          <w:p>
            <w:pPr>
              <w:widowControl/>
              <w:spacing w:after="0"/>
            </w:pPr>
            <w:r>
              <w:rPr>
                <w:rFonts w:ascii="Calibri" w:hAnsi="Calibri"/>
                <w:sz w:val="16"/>
              </w:rPr>
              <w:t>1 — Rare</w:t>
            </w:r>
          </w:p>
        </w:tc>
        <w:tc>
          <w:tcPr>
            <w:tcW w:type="dxa" w:w="3671"/>
            <w:tcMar>
              <w:top w:w="90" w:type="dxa"/>
              <w:start w:w="120" w:type="dxa"/>
              <w:bottom w:w="90" w:type="dxa"/>
              <w:end w:w="120" w:type="dxa"/>
            </w:tcMar>
            <w:vAlign w:val="center"/>
          </w:tcPr>
          <w:p>
            <w:pPr>
              <w:widowControl/>
              <w:spacing w:after="0"/>
            </w:pPr>
            <w:r>
              <w:rPr>
                <w:rFonts w:ascii="Calibri" w:hAnsi="Calibri"/>
                <w:sz w:val="16"/>
              </w:rPr>
              <w:t>Exceptional; not expected in the assessment period.</w:t>
            </w:r>
          </w:p>
        </w:tc>
        <w:tc>
          <w:tcPr>
            <w:tcW w:type="dxa" w:w="4982"/>
            <w:tcMar>
              <w:top w:w="90" w:type="dxa"/>
              <w:start w:w="120" w:type="dxa"/>
              <w:bottom w:w="90" w:type="dxa"/>
              <w:end w:w="120" w:type="dxa"/>
            </w:tcMar>
            <w:vAlign w:val="center"/>
          </w:tcPr>
          <w:p>
            <w:pPr>
              <w:widowControl/>
              <w:spacing w:after="0"/>
            </w:pPr>
            <w:r>
              <w:rPr>
                <w:rFonts w:ascii="Calibri" w:hAnsi="Calibri"/>
                <w:sz w:val="16"/>
              </w:rPr>
              <w:t>Negligible operational, client, regulatory, financial and reputational effect.</w:t>
            </w:r>
          </w:p>
        </w:tc>
      </w:tr>
      <w:tr>
        <w:trPr>
          <w:cantSplit/>
        </w:trPr>
        <w:tc>
          <w:tcPr>
            <w:tcW w:type="dxa" w:w="1224"/>
            <w:tcMar>
              <w:top w:w="90" w:type="dxa"/>
              <w:start w:w="120" w:type="dxa"/>
              <w:bottom w:w="90" w:type="dxa"/>
              <w:end w:w="120" w:type="dxa"/>
            </w:tcMar>
            <w:vAlign w:val="center"/>
            <w:shd w:fill="F8FAFC"/>
          </w:tcPr>
          <w:p>
            <w:pPr>
              <w:widowControl/>
              <w:spacing w:after="0"/>
            </w:pPr>
            <w:r>
              <w:rPr>
                <w:rFonts w:ascii="Calibri" w:hAnsi="Calibri"/>
                <w:sz w:val="16"/>
              </w:rPr>
              <w:t>2 — Unlikely</w:t>
            </w:r>
          </w:p>
        </w:tc>
        <w:tc>
          <w:tcPr>
            <w:tcW w:type="dxa" w:w="3671"/>
            <w:tcMar>
              <w:top w:w="90" w:type="dxa"/>
              <w:start w:w="120" w:type="dxa"/>
              <w:bottom w:w="90" w:type="dxa"/>
              <w:end w:w="120" w:type="dxa"/>
            </w:tcMar>
            <w:vAlign w:val="center"/>
            <w:shd w:fill="F8FAFC"/>
          </w:tcPr>
          <w:p>
            <w:pPr>
              <w:widowControl/>
              <w:spacing w:after="0"/>
            </w:pPr>
            <w:r>
              <w:rPr>
                <w:rFonts w:ascii="Calibri" w:hAnsi="Calibri"/>
                <w:sz w:val="16"/>
              </w:rPr>
              <w:t>Could occur but not expected; limited exposure or strong controls.</w:t>
            </w:r>
          </w:p>
        </w:tc>
        <w:tc>
          <w:tcPr>
            <w:tcW w:type="dxa" w:w="4982"/>
            <w:tcMar>
              <w:top w:w="90" w:type="dxa"/>
              <w:start w:w="120" w:type="dxa"/>
              <w:bottom w:w="90" w:type="dxa"/>
              <w:end w:w="120" w:type="dxa"/>
            </w:tcMar>
            <w:vAlign w:val="center"/>
            <w:shd w:fill="F8FAFC"/>
          </w:tcPr>
          <w:p>
            <w:pPr>
              <w:widowControl/>
              <w:spacing w:after="0"/>
            </w:pPr>
            <w:r>
              <w:rPr>
                <w:rFonts w:ascii="Calibri" w:hAnsi="Calibri"/>
                <w:sz w:val="16"/>
              </w:rPr>
              <w:t>Minor and contained; no material client or regulatory consequence.</w:t>
            </w:r>
          </w:p>
        </w:tc>
      </w:tr>
      <w:tr>
        <w:trPr>
          <w:cantSplit/>
        </w:trPr>
        <w:tc>
          <w:tcPr>
            <w:tcW w:type="dxa" w:w="1224"/>
            <w:tcMar>
              <w:top w:w="90" w:type="dxa"/>
              <w:start w:w="120" w:type="dxa"/>
              <w:bottom w:w="90" w:type="dxa"/>
              <w:end w:w="120" w:type="dxa"/>
            </w:tcMar>
            <w:vAlign w:val="center"/>
          </w:tcPr>
          <w:p>
            <w:pPr>
              <w:widowControl/>
              <w:spacing w:after="0"/>
            </w:pPr>
            <w:r>
              <w:rPr>
                <w:rFonts w:ascii="Calibri" w:hAnsi="Calibri"/>
                <w:sz w:val="16"/>
              </w:rPr>
              <w:t>3 — Possible</w:t>
            </w:r>
          </w:p>
        </w:tc>
        <w:tc>
          <w:tcPr>
            <w:tcW w:type="dxa" w:w="3671"/>
            <w:tcMar>
              <w:top w:w="90" w:type="dxa"/>
              <w:start w:w="120" w:type="dxa"/>
              <w:bottom w:w="90" w:type="dxa"/>
              <w:end w:w="120" w:type="dxa"/>
            </w:tcMar>
            <w:vAlign w:val="center"/>
          </w:tcPr>
          <w:p>
            <w:pPr>
              <w:widowControl/>
              <w:spacing w:after="0"/>
            </w:pPr>
            <w:r>
              <w:rPr>
                <w:rFonts w:ascii="Calibri" w:hAnsi="Calibri"/>
                <w:sz w:val="16"/>
              </w:rPr>
              <w:t>Plausible in the assessment period.</w:t>
            </w:r>
          </w:p>
        </w:tc>
        <w:tc>
          <w:tcPr>
            <w:tcW w:type="dxa" w:w="4982"/>
            <w:tcMar>
              <w:top w:w="90" w:type="dxa"/>
              <w:start w:w="120" w:type="dxa"/>
              <w:bottom w:w="90" w:type="dxa"/>
              <w:end w:w="120" w:type="dxa"/>
            </w:tcMar>
            <w:vAlign w:val="center"/>
          </w:tcPr>
          <w:p>
            <w:pPr>
              <w:widowControl/>
              <w:spacing w:after="0"/>
            </w:pPr>
            <w:r>
              <w:rPr>
                <w:rFonts w:ascii="Calibri" w:hAnsi="Calibri"/>
                <w:sz w:val="16"/>
              </w:rPr>
              <w:t>Meaningful disruption or remediation; limited client or compliance impact.</w:t>
            </w:r>
          </w:p>
        </w:tc>
      </w:tr>
      <w:tr>
        <w:trPr>
          <w:cantSplit/>
        </w:trPr>
        <w:tc>
          <w:tcPr>
            <w:tcW w:type="dxa" w:w="1224"/>
            <w:tcMar>
              <w:top w:w="90" w:type="dxa"/>
              <w:start w:w="120" w:type="dxa"/>
              <w:bottom w:w="90" w:type="dxa"/>
              <w:end w:w="120" w:type="dxa"/>
            </w:tcMar>
            <w:vAlign w:val="center"/>
            <w:shd w:fill="F8FAFC"/>
          </w:tcPr>
          <w:p>
            <w:pPr>
              <w:widowControl/>
              <w:spacing w:after="0"/>
            </w:pPr>
            <w:r>
              <w:rPr>
                <w:rFonts w:ascii="Calibri" w:hAnsi="Calibri"/>
                <w:sz w:val="16"/>
              </w:rPr>
              <w:t>4 — Likely</w:t>
            </w:r>
          </w:p>
        </w:tc>
        <w:tc>
          <w:tcPr>
            <w:tcW w:type="dxa" w:w="3671"/>
            <w:tcMar>
              <w:top w:w="90" w:type="dxa"/>
              <w:start w:w="120" w:type="dxa"/>
              <w:bottom w:w="90" w:type="dxa"/>
              <w:end w:w="120" w:type="dxa"/>
            </w:tcMar>
            <w:vAlign w:val="center"/>
            <w:shd w:fill="F8FAFC"/>
          </w:tcPr>
          <w:p>
            <w:pPr>
              <w:widowControl/>
              <w:spacing w:after="0"/>
            </w:pPr>
            <w:r>
              <w:rPr>
                <w:rFonts w:ascii="Calibri" w:hAnsi="Calibri"/>
                <w:sz w:val="16"/>
              </w:rPr>
              <w:t>Expected or recurring exposure; material control weakness.</w:t>
            </w:r>
          </w:p>
        </w:tc>
        <w:tc>
          <w:tcPr>
            <w:tcW w:type="dxa" w:w="4982"/>
            <w:tcMar>
              <w:top w:w="90" w:type="dxa"/>
              <w:start w:w="120" w:type="dxa"/>
              <w:bottom w:w="90" w:type="dxa"/>
              <w:end w:w="120" w:type="dxa"/>
            </w:tcMar>
            <w:vAlign w:val="center"/>
            <w:shd w:fill="F8FAFC"/>
          </w:tcPr>
          <w:p>
            <w:pPr>
              <w:widowControl/>
              <w:spacing w:after="0"/>
            </w:pPr>
            <w:r>
              <w:rPr>
                <w:rFonts w:ascii="Calibri" w:hAnsi="Calibri"/>
                <w:sz w:val="16"/>
              </w:rPr>
              <w:t>Major disruption, client harm, reportable event or material financial/reputational impact.</w:t>
            </w:r>
          </w:p>
        </w:tc>
      </w:tr>
      <w:tr>
        <w:trPr>
          <w:cantSplit/>
        </w:trPr>
        <w:tc>
          <w:tcPr>
            <w:tcW w:type="dxa" w:w="1224"/>
            <w:tcMar>
              <w:top w:w="90" w:type="dxa"/>
              <w:start w:w="120" w:type="dxa"/>
              <w:bottom w:w="90" w:type="dxa"/>
              <w:end w:w="120" w:type="dxa"/>
            </w:tcMar>
            <w:vAlign w:val="center"/>
          </w:tcPr>
          <w:p>
            <w:pPr>
              <w:widowControl/>
              <w:spacing w:after="0"/>
            </w:pPr>
            <w:r>
              <w:rPr>
                <w:rFonts w:ascii="Calibri" w:hAnsi="Calibri"/>
                <w:sz w:val="16"/>
              </w:rPr>
              <w:t>5 — Almost certain</w:t>
            </w:r>
          </w:p>
        </w:tc>
        <w:tc>
          <w:tcPr>
            <w:tcW w:type="dxa" w:w="3671"/>
            <w:tcMar>
              <w:top w:w="90" w:type="dxa"/>
              <w:start w:w="120" w:type="dxa"/>
              <w:bottom w:w="90" w:type="dxa"/>
              <w:end w:w="120" w:type="dxa"/>
            </w:tcMar>
            <w:vAlign w:val="center"/>
          </w:tcPr>
          <w:p>
            <w:pPr>
              <w:widowControl/>
              <w:spacing w:after="0"/>
            </w:pPr>
            <w:r>
              <w:rPr>
                <w:rFonts w:ascii="Calibri" w:hAnsi="Calibri"/>
                <w:sz w:val="16"/>
              </w:rPr>
              <w:t>Frequent, imminent or already occurring.</w:t>
            </w:r>
          </w:p>
        </w:tc>
        <w:tc>
          <w:tcPr>
            <w:tcW w:type="dxa" w:w="4982"/>
            <w:tcMar>
              <w:top w:w="90" w:type="dxa"/>
              <w:start w:w="120" w:type="dxa"/>
              <w:bottom w:w="90" w:type="dxa"/>
              <w:end w:w="120" w:type="dxa"/>
            </w:tcMar>
            <w:vAlign w:val="center"/>
          </w:tcPr>
          <w:p>
            <w:pPr>
              <w:widowControl/>
              <w:spacing w:after="0"/>
            </w:pPr>
            <w:r>
              <w:rPr>
                <w:rFonts w:ascii="Calibri" w:hAnsi="Calibri"/>
                <w:sz w:val="16"/>
              </w:rPr>
              <w:t>Severe or prolonged loss of critical service, serious breach, systemic/client harm or licence-threatening impact.</w:t>
            </w:r>
          </w:p>
        </w:tc>
      </w:tr>
    </w:tbl>
    <w:p>
      <w:pPr>
        <w:widowControl/>
        <w:spacing w:after="0"/>
      </w:pPr>
    </w:p>
    <w:tbl>
      <w:tblPr>
        <w:tblStyle w:val="TableGrid"/>
        <w:tblW w:type="auto" w:w="0"/>
        <w:jc w:val="center"/>
        <w:tblLayout w:type="fixed"/>
        <w:tblLook w:firstColumn="1" w:firstRow="1" w:lastColumn="0" w:lastRow="0" w:noHBand="0" w:noVBand="1" w:val="04A0"/>
      </w:tblPr>
      <w:tblGrid>
        <w:gridCol w:w="1584"/>
        <w:gridCol w:w="1728"/>
        <w:gridCol w:w="6566"/>
      </w:tblGrid>
      <w:tr>
        <w:trPr>
          <w:tblHeader w:val="true"/>
        </w:trPr>
        <w:tc>
          <w:tcPr>
            <w:tcW w:type="dxa" w:w="1584"/>
            <w:shd w:fill="17365D"/>
            <w:tcMar>
              <w:top w:w="90" w:type="dxa"/>
              <w:start w:w="120" w:type="dxa"/>
              <w:bottom w:w="90" w:type="dxa"/>
              <w:end w:w="120" w:type="dxa"/>
            </w:tcMar>
            <w:vAlign w:val="center"/>
          </w:tcPr>
          <w:p>
            <w:pPr>
              <w:widowControl/>
              <w:jc w:val="left"/>
            </w:pPr>
            <w:r>
              <w:rPr>
                <w:rFonts w:ascii="Calibri" w:hAnsi="Calibri"/>
                <w:b/>
                <w:color w:val="FFFFFF"/>
                <w:sz w:val="17"/>
              </w:rPr>
              <w:t>Residual score</w:t>
            </w:r>
          </w:p>
        </w:tc>
        <w:tc>
          <w:tcPr>
            <w:tcW w:type="dxa" w:w="1728"/>
            <w:shd w:fill="17365D"/>
            <w:tcMar>
              <w:top w:w="90" w:type="dxa"/>
              <w:start w:w="120" w:type="dxa"/>
              <w:bottom w:w="90" w:type="dxa"/>
              <w:end w:w="120" w:type="dxa"/>
            </w:tcMar>
            <w:vAlign w:val="center"/>
          </w:tcPr>
          <w:p>
            <w:pPr>
              <w:widowControl/>
              <w:jc w:val="left"/>
            </w:pPr>
            <w:r>
              <w:rPr>
                <w:rFonts w:ascii="Calibri" w:hAnsi="Calibri"/>
                <w:b/>
                <w:color w:val="FFFFFF"/>
                <w:sz w:val="17"/>
              </w:rPr>
              <w:t>Rating</w:t>
            </w:r>
          </w:p>
        </w:tc>
        <w:tc>
          <w:tcPr>
            <w:tcW w:type="dxa" w:w="6566"/>
            <w:shd w:fill="17365D"/>
            <w:tcMar>
              <w:top w:w="90" w:type="dxa"/>
              <w:start w:w="120" w:type="dxa"/>
              <w:bottom w:w="90" w:type="dxa"/>
              <w:end w:w="120" w:type="dxa"/>
            </w:tcMar>
            <w:vAlign w:val="center"/>
          </w:tcPr>
          <w:p>
            <w:pPr>
              <w:widowControl/>
              <w:jc w:val="left"/>
            </w:pPr>
            <w:r>
              <w:rPr>
                <w:rFonts w:ascii="Calibri" w:hAnsi="Calibri"/>
                <w:b/>
                <w:color w:val="FFFFFF"/>
                <w:sz w:val="17"/>
              </w:rPr>
              <w:t>Required response</w:t>
            </w:r>
          </w:p>
        </w:tc>
      </w:tr>
      <w:tr>
        <w:trPr>
          <w:cantSplit/>
        </w:trPr>
        <w:tc>
          <w:tcPr>
            <w:tcW w:type="dxa" w:w="1584"/>
            <w:tcMar>
              <w:top w:w="90" w:type="dxa"/>
              <w:start w:w="120" w:type="dxa"/>
              <w:bottom w:w="90" w:type="dxa"/>
              <w:end w:w="120" w:type="dxa"/>
            </w:tcMar>
            <w:vAlign w:val="center"/>
          </w:tcPr>
          <w:p>
            <w:pPr>
              <w:widowControl/>
              <w:spacing w:after="0"/>
            </w:pPr>
            <w:r>
              <w:rPr>
                <w:rFonts w:ascii="Calibri" w:hAnsi="Calibri"/>
                <w:sz w:val="17"/>
              </w:rPr>
              <w:t>1–4</w:t>
            </w:r>
          </w:p>
        </w:tc>
        <w:tc>
          <w:tcPr>
            <w:tcW w:type="dxa" w:w="1728"/>
            <w:tcMar>
              <w:top w:w="90" w:type="dxa"/>
              <w:start w:w="120" w:type="dxa"/>
              <w:bottom w:w="90" w:type="dxa"/>
              <w:end w:w="120" w:type="dxa"/>
            </w:tcMar>
            <w:vAlign w:val="center"/>
          </w:tcPr>
          <w:p>
            <w:pPr>
              <w:widowControl/>
              <w:spacing w:after="0"/>
            </w:pPr>
            <w:r>
              <w:rPr>
                <w:rFonts w:ascii="Calibri" w:hAnsi="Calibri"/>
                <w:sz w:val="17"/>
              </w:rPr>
              <w:t>Low</w:t>
            </w:r>
          </w:p>
        </w:tc>
        <w:tc>
          <w:tcPr>
            <w:tcW w:type="dxa" w:w="6566"/>
            <w:tcMar>
              <w:top w:w="90" w:type="dxa"/>
              <w:start w:w="120" w:type="dxa"/>
              <w:bottom w:w="90" w:type="dxa"/>
              <w:end w:w="120" w:type="dxa"/>
            </w:tcMar>
            <w:vAlign w:val="center"/>
          </w:tcPr>
          <w:p>
            <w:pPr>
              <w:widowControl/>
              <w:spacing w:after="0"/>
            </w:pPr>
            <w:r>
              <w:rPr>
                <w:rFonts w:ascii="Calibri" w:hAnsi="Calibri"/>
                <w:sz w:val="17"/>
              </w:rPr>
              <w:t>Accept and monitor through normal control cycle.</w:t>
            </w:r>
          </w:p>
        </w:tc>
      </w:tr>
      <w:tr>
        <w:trPr>
          <w:cantSplit/>
        </w:trPr>
        <w:tc>
          <w:tcPr>
            <w:tcW w:type="dxa" w:w="1584"/>
            <w:tcMar>
              <w:top w:w="90" w:type="dxa"/>
              <w:start w:w="120" w:type="dxa"/>
              <w:bottom w:w="90" w:type="dxa"/>
              <w:end w:w="120" w:type="dxa"/>
            </w:tcMar>
            <w:vAlign w:val="center"/>
            <w:shd w:fill="F8FAFC"/>
          </w:tcPr>
          <w:p>
            <w:pPr>
              <w:widowControl/>
              <w:spacing w:after="0"/>
            </w:pPr>
            <w:r>
              <w:rPr>
                <w:rFonts w:ascii="Calibri" w:hAnsi="Calibri"/>
                <w:sz w:val="17"/>
              </w:rPr>
              <w:t>5–9</w:t>
            </w:r>
          </w:p>
        </w:tc>
        <w:tc>
          <w:tcPr>
            <w:tcW w:type="dxa" w:w="1728"/>
            <w:tcMar>
              <w:top w:w="90" w:type="dxa"/>
              <w:start w:w="120" w:type="dxa"/>
              <w:bottom w:w="90" w:type="dxa"/>
              <w:end w:w="120" w:type="dxa"/>
            </w:tcMar>
            <w:vAlign w:val="center"/>
            <w:shd w:fill="F8FAFC"/>
          </w:tcPr>
          <w:p>
            <w:pPr>
              <w:widowControl/>
              <w:spacing w:after="0"/>
            </w:pPr>
            <w:r>
              <w:rPr>
                <w:rFonts w:ascii="Calibri" w:hAnsi="Calibri"/>
                <w:sz w:val="17"/>
              </w:rPr>
              <w:t>Moderate</w:t>
            </w:r>
          </w:p>
        </w:tc>
        <w:tc>
          <w:tcPr>
            <w:tcW w:type="dxa" w:w="6566"/>
            <w:tcMar>
              <w:top w:w="90" w:type="dxa"/>
              <w:start w:w="120" w:type="dxa"/>
              <w:bottom w:w="90" w:type="dxa"/>
              <w:end w:w="120" w:type="dxa"/>
            </w:tcMar>
            <w:vAlign w:val="center"/>
            <w:shd w:fill="F8FAFC"/>
          </w:tcPr>
          <w:p>
            <w:pPr>
              <w:widowControl/>
              <w:spacing w:after="0"/>
            </w:pPr>
            <w:r>
              <w:rPr>
                <w:rFonts w:ascii="Calibri" w:hAnsi="Calibri"/>
                <w:sz w:val="17"/>
              </w:rPr>
              <w:t>Named treatment or reasoned acceptance; monitor to closure/review.</w:t>
            </w:r>
          </w:p>
        </w:tc>
      </w:tr>
      <w:tr>
        <w:trPr>
          <w:cantSplit/>
        </w:trPr>
        <w:tc>
          <w:tcPr>
            <w:tcW w:type="dxa" w:w="1584"/>
            <w:tcMar>
              <w:top w:w="90" w:type="dxa"/>
              <w:start w:w="120" w:type="dxa"/>
              <w:bottom w:w="90" w:type="dxa"/>
              <w:end w:w="120" w:type="dxa"/>
            </w:tcMar>
            <w:vAlign w:val="center"/>
          </w:tcPr>
          <w:p>
            <w:pPr>
              <w:widowControl/>
              <w:spacing w:after="0"/>
            </w:pPr>
            <w:r>
              <w:rPr>
                <w:rFonts w:ascii="Calibri" w:hAnsi="Calibri"/>
                <w:sz w:val="17"/>
              </w:rPr>
              <w:t>10–16</w:t>
            </w:r>
          </w:p>
        </w:tc>
        <w:tc>
          <w:tcPr>
            <w:tcW w:type="dxa" w:w="1728"/>
            <w:tcMar>
              <w:top w:w="90" w:type="dxa"/>
              <w:start w:w="120" w:type="dxa"/>
              <w:bottom w:w="90" w:type="dxa"/>
              <w:end w:w="120" w:type="dxa"/>
            </w:tcMar>
            <w:vAlign w:val="center"/>
          </w:tcPr>
          <w:p>
            <w:pPr>
              <w:widowControl/>
              <w:spacing w:after="0"/>
            </w:pPr>
            <w:r>
              <w:rPr>
                <w:rFonts w:ascii="Calibri" w:hAnsi="Calibri"/>
                <w:sz w:val="17"/>
              </w:rPr>
              <w:t>High</w:t>
            </w:r>
          </w:p>
        </w:tc>
        <w:tc>
          <w:tcPr>
            <w:tcW w:type="dxa" w:w="6566"/>
            <w:tcMar>
              <w:top w:w="90" w:type="dxa"/>
              <w:start w:w="120" w:type="dxa"/>
              <w:bottom w:w="90" w:type="dxa"/>
              <w:end w:w="120" w:type="dxa"/>
            </w:tcMar>
            <w:vAlign w:val="center"/>
          </w:tcPr>
          <w:p>
            <w:pPr>
              <w:widowControl/>
              <w:spacing w:after="0"/>
            </w:pPr>
            <w:r>
              <w:rPr>
                <w:rFonts w:ascii="Calibri" w:hAnsi="Calibri"/>
                <w:sz w:val="17"/>
              </w:rPr>
              <w:t>Treatment plan and prompt escalation; management-body acceptance if remaining above tolerance.</w:t>
            </w:r>
          </w:p>
        </w:tc>
      </w:tr>
      <w:tr>
        <w:trPr>
          <w:cantSplit/>
        </w:trPr>
        <w:tc>
          <w:tcPr>
            <w:tcW w:type="dxa" w:w="1584"/>
            <w:tcMar>
              <w:top w:w="90" w:type="dxa"/>
              <w:start w:w="120" w:type="dxa"/>
              <w:bottom w:w="90" w:type="dxa"/>
              <w:end w:w="120" w:type="dxa"/>
            </w:tcMar>
            <w:vAlign w:val="center"/>
            <w:shd w:fill="F8FAFC"/>
          </w:tcPr>
          <w:p>
            <w:pPr>
              <w:widowControl/>
              <w:spacing w:after="0"/>
            </w:pPr>
            <w:r>
              <w:rPr>
                <w:rFonts w:ascii="Calibri" w:hAnsi="Calibri"/>
                <w:sz w:val="17"/>
              </w:rPr>
              <w:t>17–25</w:t>
            </w:r>
          </w:p>
        </w:tc>
        <w:tc>
          <w:tcPr>
            <w:tcW w:type="dxa" w:w="1728"/>
            <w:tcMar>
              <w:top w:w="90" w:type="dxa"/>
              <w:start w:w="120" w:type="dxa"/>
              <w:bottom w:w="90" w:type="dxa"/>
              <w:end w:w="120" w:type="dxa"/>
            </w:tcMar>
            <w:vAlign w:val="center"/>
            <w:shd w:fill="F8FAFC"/>
          </w:tcPr>
          <w:p>
            <w:pPr>
              <w:widowControl/>
              <w:spacing w:after="0"/>
            </w:pPr>
            <w:r>
              <w:rPr>
                <w:rFonts w:ascii="Calibri" w:hAnsi="Calibri"/>
                <w:sz w:val="17"/>
              </w:rPr>
              <w:t>Critical</w:t>
            </w:r>
          </w:p>
        </w:tc>
        <w:tc>
          <w:tcPr>
            <w:tcW w:type="dxa" w:w="6566"/>
            <w:tcMar>
              <w:top w:w="90" w:type="dxa"/>
              <w:start w:w="120" w:type="dxa"/>
              <w:bottom w:w="90" w:type="dxa"/>
              <w:end w:w="120" w:type="dxa"/>
            </w:tcMar>
            <w:vAlign w:val="center"/>
            <w:shd w:fill="F8FAFC"/>
          </w:tcPr>
          <w:p>
            <w:pPr>
              <w:widowControl/>
              <w:spacing w:after="0"/>
            </w:pPr>
            <w:r>
              <w:rPr>
                <w:rFonts w:ascii="Calibri" w:hAnsi="Calibri"/>
                <w:sz w:val="17"/>
              </w:rPr>
              <w:t>Immediate containment; management-body escalation; cannot be accepted as normal BAU.</w:t>
            </w:r>
          </w:p>
        </w:tc>
      </w:tr>
    </w:tbl>
    <w:p>
      <w:pPr>
        <w:widowControl/>
        <w:spacing w:after="0"/>
      </w:pPr>
    </w:p>
    <w:tbl>
      <w:tblPr>
        <w:tblW w:type="auto" w:w="0"/>
        <w:jc w:val="center"/>
        <w:tblLayout w:type="fixed"/>
        <w:tblLook w:firstColumn="1" w:firstRow="1" w:lastColumn="0" w:lastRow="0" w:noHBand="0" w:noVBand="1" w:val="04A0"/>
      </w:tblPr>
      <w:tblGrid>
        <w:gridCol w:w="9878"/>
      </w:tblGrid>
      <w:tr>
        <w:tc>
          <w:tcPr>
            <w:tcW w:type="dxa" w:w="9878"/>
            <w:shd w:fill="F2F4F7"/>
            <w:tcBorders>
              <w:top w:val="single" w:sz="6" w:color="D0D5DD"/>
              <w:left w:val="single" w:sz="6" w:color="D0D5DD"/>
              <w:bottom w:val="single" w:sz="6" w:color="D0D5DD"/>
              <w:right w:val="single" w:sz="6" w:color="D0D5DD"/>
            </w:tcBorders>
            <w:vAlign w:val="center"/>
          </w:tcPr>
          <w:p>
            <w:pPr>
              <w:pStyle w:val="DraftingNote"/>
              <w:widowControl/>
            </w:pPr>
            <w:r>
              <w:rPr>
                <w:rFonts w:ascii="Calibri" w:hAnsi="Calibri"/>
                <w:b/>
                <w:color w:val="1F4D78"/>
              </w:rPr>
              <w:t xml:space="preserve">DRAFTING NOTE  </w:t>
            </w:r>
            <w:r>
              <w:rPr>
                <w:rFonts w:ascii="Calibri" w:hAnsi="Calibri"/>
              </w:rPr>
              <w:t>Confirm the scoring method in D03. If likelihood × impact is used, document how control effectiveness affects the residual score and prevent arithmetic from substituting for judgement.</w:t>
            </w:r>
          </w:p>
        </w:tc>
      </w:tr>
    </w:tbl>
    <w:p>
      <w:pPr>
        <w:pStyle w:val="Heading2"/>
        <w:widowControl/>
      </w:pPr>
      <w:r>
        <w:t>7.3 Risk treatment</w:t>
      </w:r>
    </w:p>
    <w:p>
      <w:pPr>
        <w:widowControl/>
      </w:pPr>
      <w:r>
        <w:t>Risk may be avoided, reduced, transferred or accepted. Treatment measures shall be specific, proportionate, assigned, dated and verifiable. For each risk outside tolerance, the owner shall define interim containment, target residual risk, dependencies, resources and evidence of completion. Effectiveness shall be monitored and ineffective measures revised without undue delay.</w:t>
      </w:r>
    </w:p>
    <w:p>
      <w:pPr>
        <w:pStyle w:val="Heading2"/>
        <w:widowControl/>
      </w:pPr>
      <w:r>
        <w:t>7.4 Continuous monitoring and trigger events</w:t>
      </w:r>
    </w:p>
    <w:p>
      <w:pPr>
        <w:widowControl/>
      </w:pPr>
      <w:r>
        <w:t>Relevant threats and vulnerabilities shall be continuously monitored, and scenarios affecting critical or important functions regularly reviewed. An ICT risk assessment shall also be initiated or refreshed following:</w:t>
      </w:r>
    </w:p>
    <w:p>
      <w:pPr>
        <w:pStyle w:val="ListBullet"/>
        <w:widowControl/>
        <w:ind w:left="475"/>
      </w:pPr>
      <w:r>
        <w:t>a major change in an ICT system, ICT service, process, procedure or provider;</w:t>
      </w:r>
    </w:p>
    <w:p>
      <w:pPr>
        <w:pStyle w:val="ListBullet"/>
        <w:widowControl/>
        <w:ind w:left="475"/>
      </w:pPr>
      <w:r>
        <w:t>a new or materially changed critical or important function;</w:t>
      </w:r>
    </w:p>
    <w:p>
      <w:pPr>
        <w:pStyle w:val="ListBullet"/>
        <w:widowControl/>
        <w:ind w:left="475"/>
      </w:pPr>
      <w:r>
        <w:t>material testing results, control failure or audit finding;</w:t>
      </w:r>
    </w:p>
    <w:p>
      <w:pPr>
        <w:pStyle w:val="ListBullet"/>
        <w:widowControl/>
        <w:ind w:left="475"/>
      </w:pPr>
      <w:r>
        <w:t>a major ICT-related incident or material near miss;</w:t>
      </w:r>
    </w:p>
    <w:p>
      <w:pPr>
        <w:pStyle w:val="ListBullet"/>
        <w:widowControl/>
        <w:ind w:left="475"/>
      </w:pPr>
      <w:r>
        <w:t>a material change in the threat or vulnerability landscape;</w:t>
      </w:r>
    </w:p>
    <w:p>
      <w:pPr>
        <w:pStyle w:val="ListBullet"/>
        <w:widowControl/>
        <w:ind w:left="475"/>
      </w:pPr>
      <w:r>
        <w:t>a material change in business strategy, licence scope, data handling or outsourcing; or</w:t>
      </w:r>
    </w:p>
    <w:p>
      <w:pPr>
        <w:pStyle w:val="ListBullet"/>
        <w:widowControl/>
        <w:ind w:left="475"/>
      </w:pPr>
      <w:r>
        <w:t>supervisory instruction or other legal/regulatory change.</w:t>
      </w:r>
    </w:p>
    <w:p>
      <w:pPr>
        <w:pStyle w:val="Heading1"/>
        <w:widowControl/>
      </w:pPr>
      <w:r>
        <w:t>8. Framework components and document architecture</w:t>
      </w:r>
    </w:p>
    <w:p>
      <w:pPr>
        <w:widowControl/>
      </w:pPr>
      <w:r>
        <w:t>D01 is implemented through the following controlled deliverables. The owner of each deliverable shall ensure consistency with this Framework, current legal requirements and the firm’s operating model.</w:t>
      </w:r>
    </w:p>
    <w:tbl>
      <w:tblPr>
        <w:tblStyle w:val="TableGrid"/>
        <w:tblW w:type="auto" w:w="0"/>
        <w:jc w:val="center"/>
        <w:tblLayout w:type="fixed"/>
        <w:tblLook w:firstColumn="1" w:firstRow="1" w:lastColumn="0" w:lastRow="0" w:noHBand="0" w:noVBand="1" w:val="04A0"/>
      </w:tblPr>
      <w:tblGrid>
        <w:gridCol w:w="835"/>
        <w:gridCol w:w="4003"/>
        <w:gridCol w:w="5040"/>
      </w:tblGrid>
      <w:tr>
        <w:trPr>
          <w:tblHeader w:val="true"/>
        </w:trPr>
        <w:tc>
          <w:tcPr>
            <w:tcW w:type="dxa" w:w="835"/>
            <w:shd w:fill="17365D"/>
            <w:tcMar>
              <w:top w:w="90" w:type="dxa"/>
              <w:start w:w="120" w:type="dxa"/>
              <w:bottom w:w="90" w:type="dxa"/>
              <w:end w:w="120" w:type="dxa"/>
            </w:tcMar>
            <w:vAlign w:val="center"/>
          </w:tcPr>
          <w:p>
            <w:pPr>
              <w:widowControl/>
              <w:jc w:val="left"/>
            </w:pPr>
            <w:r>
              <w:rPr>
                <w:rFonts w:ascii="Calibri" w:hAnsi="Calibri"/>
                <w:b/>
                <w:color w:val="FFFFFF"/>
                <w:sz w:val="15"/>
              </w:rPr>
              <w:t>ID</w:t>
            </w:r>
          </w:p>
        </w:tc>
        <w:tc>
          <w:tcPr>
            <w:tcW w:type="dxa" w:w="4003"/>
            <w:shd w:fill="17365D"/>
            <w:tcMar>
              <w:top w:w="90" w:type="dxa"/>
              <w:start w:w="120" w:type="dxa"/>
              <w:bottom w:w="90" w:type="dxa"/>
              <w:end w:w="120" w:type="dxa"/>
            </w:tcMar>
            <w:vAlign w:val="center"/>
          </w:tcPr>
          <w:p>
            <w:pPr>
              <w:widowControl/>
              <w:jc w:val="left"/>
            </w:pPr>
            <w:r>
              <w:rPr>
                <w:rFonts w:ascii="Calibri" w:hAnsi="Calibri"/>
                <w:b/>
                <w:color w:val="FFFFFF"/>
                <w:sz w:val="15"/>
              </w:rPr>
              <w:t>Controlled deliverable</w:t>
            </w:r>
          </w:p>
        </w:tc>
        <w:tc>
          <w:tcPr>
            <w:tcW w:type="dxa" w:w="5040"/>
            <w:shd w:fill="17365D"/>
            <w:tcMar>
              <w:top w:w="90" w:type="dxa"/>
              <w:start w:w="120" w:type="dxa"/>
              <w:bottom w:w="90" w:type="dxa"/>
              <w:end w:w="120" w:type="dxa"/>
            </w:tcMar>
            <w:vAlign w:val="center"/>
          </w:tcPr>
          <w:p>
            <w:pPr>
              <w:widowControl/>
              <w:jc w:val="left"/>
            </w:pPr>
            <w:r>
              <w:rPr>
                <w:rFonts w:ascii="Calibri" w:hAnsi="Calibri"/>
                <w:b/>
                <w:color w:val="FFFFFF"/>
                <w:sz w:val="15"/>
              </w:rPr>
              <w:t>Primary function</w:t>
            </w:r>
          </w:p>
        </w:tc>
      </w:tr>
      <w:tr>
        <w:trPr>
          <w:cantSplit/>
        </w:trPr>
        <w:tc>
          <w:tcPr>
            <w:tcW w:type="dxa" w:w="835"/>
            <w:tcMar>
              <w:top w:w="90" w:type="dxa"/>
              <w:start w:w="120" w:type="dxa"/>
              <w:bottom w:w="90" w:type="dxa"/>
              <w:end w:w="120" w:type="dxa"/>
            </w:tcMar>
            <w:vAlign w:val="center"/>
          </w:tcPr>
          <w:p>
            <w:pPr>
              <w:widowControl/>
              <w:spacing w:after="0"/>
            </w:pPr>
            <w:r>
              <w:rPr>
                <w:rFonts w:ascii="Calibri" w:hAnsi="Calibri"/>
                <w:b/>
                <w:color w:val="1F4D78"/>
                <w:sz w:val="15"/>
              </w:rPr>
              <w:t>D01</w:t>
            </w:r>
          </w:p>
        </w:tc>
        <w:tc>
          <w:tcPr>
            <w:tcW w:type="dxa" w:w="4003"/>
            <w:tcMar>
              <w:top w:w="90" w:type="dxa"/>
              <w:start w:w="120" w:type="dxa"/>
              <w:bottom w:w="90" w:type="dxa"/>
              <w:end w:w="120" w:type="dxa"/>
            </w:tcMar>
            <w:vAlign w:val="center"/>
          </w:tcPr>
          <w:p>
            <w:pPr>
              <w:widowControl/>
              <w:spacing w:after="0"/>
            </w:pPr>
            <w:r>
              <w:rPr>
                <w:rFonts w:ascii="Calibri" w:hAnsi="Calibri"/>
                <w:sz w:val="15"/>
              </w:rPr>
              <w:t>DORA Governance &amp; Simplified ICT Risk Management Framework</w:t>
            </w:r>
          </w:p>
        </w:tc>
        <w:tc>
          <w:tcPr>
            <w:tcW w:type="dxa" w:w="5040"/>
            <w:tcMar>
              <w:top w:w="90" w:type="dxa"/>
              <w:start w:w="120" w:type="dxa"/>
              <w:bottom w:w="90" w:type="dxa"/>
              <w:end w:w="120" w:type="dxa"/>
            </w:tcMar>
            <w:vAlign w:val="center"/>
          </w:tcPr>
          <w:p>
            <w:pPr>
              <w:widowControl/>
              <w:spacing w:after="0"/>
            </w:pPr>
            <w:r>
              <w:rPr>
                <w:rFonts w:ascii="Calibri" w:hAnsi="Calibri"/>
                <w:sz w:val="15"/>
              </w:rPr>
              <w:t>Governance, proportionality, risk tolerance, methodology, roles, reporting and review.</w:t>
            </w:r>
          </w:p>
        </w:tc>
      </w:tr>
      <w:tr>
        <w:trPr>
          <w:cantSplit/>
        </w:trPr>
        <w:tc>
          <w:tcPr>
            <w:tcW w:type="dxa" w:w="835"/>
            <w:tcMar>
              <w:top w:w="90" w:type="dxa"/>
              <w:start w:w="120" w:type="dxa"/>
              <w:bottom w:w="90" w:type="dxa"/>
              <w:end w:w="120" w:type="dxa"/>
            </w:tcMar>
            <w:vAlign w:val="center"/>
            <w:shd w:fill="F8FAFC"/>
          </w:tcPr>
          <w:p>
            <w:pPr>
              <w:widowControl/>
              <w:spacing w:after="0"/>
            </w:pPr>
            <w:r>
              <w:rPr>
                <w:rFonts w:ascii="Calibri" w:hAnsi="Calibri"/>
                <w:b/>
                <w:color w:val="1F4D78"/>
                <w:sz w:val="15"/>
              </w:rPr>
              <w:t>D02</w:t>
            </w:r>
          </w:p>
        </w:tc>
        <w:tc>
          <w:tcPr>
            <w:tcW w:type="dxa" w:w="4003"/>
            <w:tcMar>
              <w:top w:w="90" w:type="dxa"/>
              <w:start w:w="120" w:type="dxa"/>
              <w:bottom w:w="90" w:type="dxa"/>
              <w:end w:w="120" w:type="dxa"/>
            </w:tcMar>
            <w:vAlign w:val="center"/>
            <w:shd w:fill="F8FAFC"/>
          </w:tcPr>
          <w:p>
            <w:pPr>
              <w:widowControl/>
              <w:spacing w:after="0"/>
            </w:pPr>
            <w:r>
              <w:rPr>
                <w:rFonts w:ascii="Calibri" w:hAnsi="Calibri"/>
                <w:sz w:val="15"/>
              </w:rPr>
              <w:t>Information Security &amp; ICT Operations Policy</w:t>
            </w:r>
          </w:p>
        </w:tc>
        <w:tc>
          <w:tcPr>
            <w:tcW w:type="dxa" w:w="5040"/>
            <w:tcMar>
              <w:top w:w="90" w:type="dxa"/>
              <w:start w:w="120" w:type="dxa"/>
              <w:bottom w:w="90" w:type="dxa"/>
              <w:end w:w="120" w:type="dxa"/>
            </w:tcMar>
            <w:vAlign w:val="center"/>
            <w:shd w:fill="F8FAFC"/>
          </w:tcPr>
          <w:p>
            <w:pPr>
              <w:widowControl/>
              <w:spacing w:after="0"/>
            </w:pPr>
            <w:r>
              <w:rPr>
                <w:rFonts w:ascii="Calibri" w:hAnsi="Calibri"/>
                <w:sz w:val="15"/>
              </w:rPr>
              <w:t>Security principles and measures covering assets, access, operations, systems, acquisition, projects and change.</w:t>
            </w:r>
          </w:p>
        </w:tc>
      </w:tr>
      <w:tr>
        <w:trPr>
          <w:cantSplit/>
        </w:trPr>
        <w:tc>
          <w:tcPr>
            <w:tcW w:type="dxa" w:w="835"/>
            <w:tcMar>
              <w:top w:w="90" w:type="dxa"/>
              <w:start w:w="120" w:type="dxa"/>
              <w:bottom w:w="90" w:type="dxa"/>
              <w:end w:w="120" w:type="dxa"/>
            </w:tcMar>
            <w:vAlign w:val="center"/>
          </w:tcPr>
          <w:p>
            <w:pPr>
              <w:widowControl/>
              <w:spacing w:after="0"/>
            </w:pPr>
            <w:r>
              <w:rPr>
                <w:rFonts w:ascii="Calibri" w:hAnsi="Calibri"/>
                <w:b/>
                <w:color w:val="1F4D78"/>
                <w:sz w:val="15"/>
              </w:rPr>
              <w:t>D03</w:t>
            </w:r>
          </w:p>
        </w:tc>
        <w:tc>
          <w:tcPr>
            <w:tcW w:type="dxa" w:w="4003"/>
            <w:tcMar>
              <w:top w:w="90" w:type="dxa"/>
              <w:start w:w="120" w:type="dxa"/>
              <w:bottom w:w="90" w:type="dxa"/>
              <w:end w:w="120" w:type="dxa"/>
            </w:tcMar>
            <w:vAlign w:val="center"/>
          </w:tcPr>
          <w:p>
            <w:pPr>
              <w:widowControl/>
              <w:spacing w:after="0"/>
            </w:pPr>
            <w:r>
              <w:rPr>
                <w:rFonts w:ascii="Calibri" w:hAnsi="Calibri"/>
                <w:sz w:val="15"/>
              </w:rPr>
              <w:t>ICT Risk Register</w:t>
            </w:r>
          </w:p>
        </w:tc>
        <w:tc>
          <w:tcPr>
            <w:tcW w:type="dxa" w:w="5040"/>
            <w:tcMar>
              <w:top w:w="90" w:type="dxa"/>
              <w:start w:w="120" w:type="dxa"/>
              <w:bottom w:w="90" w:type="dxa"/>
              <w:end w:w="120" w:type="dxa"/>
            </w:tcMar>
            <w:vAlign w:val="center"/>
          </w:tcPr>
          <w:p>
            <w:pPr>
              <w:widowControl/>
              <w:spacing w:after="0"/>
            </w:pPr>
            <w:r>
              <w:rPr>
                <w:rFonts w:ascii="Calibri" w:hAnsi="Calibri"/>
                <w:sz w:val="15"/>
              </w:rPr>
              <w:t>Risks, controls, treatment, ownership, due dates, acceptance and review.</w:t>
            </w:r>
          </w:p>
        </w:tc>
      </w:tr>
      <w:tr>
        <w:trPr>
          <w:cantSplit/>
        </w:trPr>
        <w:tc>
          <w:tcPr>
            <w:tcW w:type="dxa" w:w="835"/>
            <w:tcMar>
              <w:top w:w="90" w:type="dxa"/>
              <w:start w:w="120" w:type="dxa"/>
              <w:bottom w:w="90" w:type="dxa"/>
              <w:end w:w="120" w:type="dxa"/>
            </w:tcMar>
            <w:vAlign w:val="center"/>
            <w:shd w:fill="F8FAFC"/>
          </w:tcPr>
          <w:p>
            <w:pPr>
              <w:widowControl/>
              <w:spacing w:after="0"/>
            </w:pPr>
            <w:r>
              <w:rPr>
                <w:rFonts w:ascii="Calibri" w:hAnsi="Calibri"/>
                <w:b/>
                <w:color w:val="1F4D78"/>
                <w:sz w:val="15"/>
              </w:rPr>
              <w:t>D04</w:t>
            </w:r>
          </w:p>
        </w:tc>
        <w:tc>
          <w:tcPr>
            <w:tcW w:type="dxa" w:w="4003"/>
            <w:tcMar>
              <w:top w:w="90" w:type="dxa"/>
              <w:start w:w="120" w:type="dxa"/>
              <w:bottom w:w="90" w:type="dxa"/>
              <w:end w:w="120" w:type="dxa"/>
            </w:tcMar>
            <w:vAlign w:val="center"/>
            <w:shd w:fill="F8FAFC"/>
          </w:tcPr>
          <w:p>
            <w:pPr>
              <w:widowControl/>
              <w:spacing w:after="0"/>
            </w:pPr>
            <w:r>
              <w:rPr>
                <w:rFonts w:ascii="Calibri" w:hAnsi="Calibri"/>
                <w:sz w:val="15"/>
              </w:rPr>
              <w:t>Critical Functions, Assets &amp; Dependencies Register</w:t>
            </w:r>
          </w:p>
        </w:tc>
        <w:tc>
          <w:tcPr>
            <w:tcW w:type="dxa" w:w="5040"/>
            <w:tcMar>
              <w:top w:w="90" w:type="dxa"/>
              <w:start w:w="120" w:type="dxa"/>
              <w:bottom w:w="90" w:type="dxa"/>
              <w:end w:w="120" w:type="dxa"/>
            </w:tcMar>
            <w:vAlign w:val="center"/>
            <w:shd w:fill="F8FAFC"/>
          </w:tcPr>
          <w:p>
            <w:pPr>
              <w:widowControl/>
              <w:spacing w:after="0"/>
            </w:pPr>
            <w:r>
              <w:rPr>
                <w:rFonts w:ascii="Calibri" w:hAnsi="Calibri"/>
                <w:sz w:val="15"/>
              </w:rPr>
              <w:t>Functions, information assets, ICT assets, providers, classifications and interdependencies.</w:t>
            </w:r>
          </w:p>
        </w:tc>
      </w:tr>
      <w:tr>
        <w:trPr>
          <w:cantSplit/>
        </w:trPr>
        <w:tc>
          <w:tcPr>
            <w:tcW w:type="dxa" w:w="835"/>
            <w:tcMar>
              <w:top w:w="90" w:type="dxa"/>
              <w:start w:w="120" w:type="dxa"/>
              <w:bottom w:w="90" w:type="dxa"/>
              <w:end w:w="120" w:type="dxa"/>
            </w:tcMar>
            <w:vAlign w:val="center"/>
          </w:tcPr>
          <w:p>
            <w:pPr>
              <w:widowControl/>
              <w:spacing w:after="0"/>
            </w:pPr>
            <w:r>
              <w:rPr>
                <w:rFonts w:ascii="Calibri" w:hAnsi="Calibri"/>
                <w:b/>
                <w:color w:val="1F4D78"/>
                <w:sz w:val="15"/>
              </w:rPr>
              <w:t>D05</w:t>
            </w:r>
          </w:p>
        </w:tc>
        <w:tc>
          <w:tcPr>
            <w:tcW w:type="dxa" w:w="4003"/>
            <w:tcMar>
              <w:top w:w="90" w:type="dxa"/>
              <w:start w:w="120" w:type="dxa"/>
              <w:bottom w:w="90" w:type="dxa"/>
              <w:end w:w="120" w:type="dxa"/>
            </w:tcMar>
            <w:vAlign w:val="center"/>
          </w:tcPr>
          <w:p>
            <w:pPr>
              <w:widowControl/>
              <w:spacing w:after="0"/>
            </w:pPr>
            <w:r>
              <w:rPr>
                <w:rFonts w:ascii="Calibri" w:hAnsi="Calibri"/>
                <w:sz w:val="15"/>
              </w:rPr>
              <w:t>ICT Business Continuity, Response &amp; Recovery Plan</w:t>
            </w:r>
          </w:p>
        </w:tc>
        <w:tc>
          <w:tcPr>
            <w:tcW w:type="dxa" w:w="5040"/>
            <w:tcMar>
              <w:top w:w="90" w:type="dxa"/>
              <w:start w:w="120" w:type="dxa"/>
              <w:bottom w:w="90" w:type="dxa"/>
              <w:end w:w="120" w:type="dxa"/>
            </w:tcMar>
            <w:vAlign w:val="center"/>
          </w:tcPr>
          <w:p>
            <w:pPr>
              <w:widowControl/>
              <w:spacing w:after="0"/>
            </w:pPr>
            <w:r>
              <w:rPr>
                <w:rFonts w:ascii="Calibri" w:hAnsi="Calibri"/>
                <w:sz w:val="15"/>
              </w:rPr>
              <w:t>BIA, scenarios, RTO/RPO, response, recovery, backup, restoration and return to normal.</w:t>
            </w:r>
          </w:p>
        </w:tc>
      </w:tr>
      <w:tr>
        <w:trPr>
          <w:cantSplit/>
        </w:trPr>
        <w:tc>
          <w:tcPr>
            <w:tcW w:type="dxa" w:w="835"/>
            <w:tcMar>
              <w:top w:w="90" w:type="dxa"/>
              <w:start w:w="120" w:type="dxa"/>
              <w:bottom w:w="90" w:type="dxa"/>
              <w:end w:w="120" w:type="dxa"/>
            </w:tcMar>
            <w:vAlign w:val="center"/>
            <w:shd w:fill="F8FAFC"/>
          </w:tcPr>
          <w:p>
            <w:pPr>
              <w:widowControl/>
              <w:spacing w:after="0"/>
            </w:pPr>
            <w:r>
              <w:rPr>
                <w:rFonts w:ascii="Calibri" w:hAnsi="Calibri"/>
                <w:b/>
                <w:color w:val="1F4D78"/>
                <w:sz w:val="15"/>
              </w:rPr>
              <w:t>D06</w:t>
            </w:r>
          </w:p>
        </w:tc>
        <w:tc>
          <w:tcPr>
            <w:tcW w:type="dxa" w:w="4003"/>
            <w:tcMar>
              <w:top w:w="90" w:type="dxa"/>
              <w:start w:w="120" w:type="dxa"/>
              <w:bottom w:w="90" w:type="dxa"/>
              <w:end w:w="120" w:type="dxa"/>
            </w:tcMar>
            <w:vAlign w:val="center"/>
            <w:shd w:fill="F8FAFC"/>
          </w:tcPr>
          <w:p>
            <w:pPr>
              <w:widowControl/>
              <w:spacing w:after="0"/>
            </w:pPr>
            <w:r>
              <w:rPr>
                <w:rFonts w:ascii="Calibri" w:hAnsi="Calibri"/>
                <w:sz w:val="15"/>
              </w:rPr>
              <w:t>ICT Incident Management &amp; DORA Reporting Procedure</w:t>
            </w:r>
          </w:p>
        </w:tc>
        <w:tc>
          <w:tcPr>
            <w:tcW w:type="dxa" w:w="5040"/>
            <w:tcMar>
              <w:top w:w="90" w:type="dxa"/>
              <w:start w:w="120" w:type="dxa"/>
              <w:bottom w:w="90" w:type="dxa"/>
              <w:end w:w="120" w:type="dxa"/>
            </w:tcMar>
            <w:vAlign w:val="center"/>
            <w:shd w:fill="F8FAFC"/>
          </w:tcPr>
          <w:p>
            <w:pPr>
              <w:widowControl/>
              <w:spacing w:after="0"/>
            </w:pPr>
            <w:r>
              <w:rPr>
                <w:rFonts w:ascii="Calibri" w:hAnsi="Calibri"/>
                <w:sz w:val="15"/>
              </w:rPr>
              <w:t>Detection, escalation, classification, reporting, evidence and post-incident review.</w:t>
            </w:r>
          </w:p>
        </w:tc>
      </w:tr>
      <w:tr>
        <w:trPr>
          <w:cantSplit/>
        </w:trPr>
        <w:tc>
          <w:tcPr>
            <w:tcW w:type="dxa" w:w="835"/>
            <w:tcMar>
              <w:top w:w="90" w:type="dxa"/>
              <w:start w:w="120" w:type="dxa"/>
              <w:bottom w:w="90" w:type="dxa"/>
              <w:end w:w="120" w:type="dxa"/>
            </w:tcMar>
            <w:vAlign w:val="center"/>
          </w:tcPr>
          <w:p>
            <w:pPr>
              <w:widowControl/>
              <w:spacing w:after="0"/>
            </w:pPr>
            <w:r>
              <w:rPr>
                <w:rFonts w:ascii="Calibri" w:hAnsi="Calibri"/>
                <w:b/>
                <w:color w:val="1F4D78"/>
                <w:sz w:val="15"/>
              </w:rPr>
              <w:t>D07</w:t>
            </w:r>
          </w:p>
        </w:tc>
        <w:tc>
          <w:tcPr>
            <w:tcW w:type="dxa" w:w="4003"/>
            <w:tcMar>
              <w:top w:w="90" w:type="dxa"/>
              <w:start w:w="120" w:type="dxa"/>
              <w:bottom w:w="90" w:type="dxa"/>
              <w:end w:w="120" w:type="dxa"/>
            </w:tcMar>
            <w:vAlign w:val="center"/>
          </w:tcPr>
          <w:p>
            <w:pPr>
              <w:widowControl/>
              <w:spacing w:after="0"/>
            </w:pPr>
            <w:r>
              <w:rPr>
                <w:rFonts w:ascii="Calibri" w:hAnsi="Calibri"/>
                <w:sz w:val="15"/>
              </w:rPr>
              <w:t>ICT Incident Register</w:t>
            </w:r>
          </w:p>
        </w:tc>
        <w:tc>
          <w:tcPr>
            <w:tcW w:type="dxa" w:w="5040"/>
            <w:tcMar>
              <w:top w:w="90" w:type="dxa"/>
              <w:start w:w="120" w:type="dxa"/>
              <w:bottom w:w="90" w:type="dxa"/>
              <w:end w:w="120" w:type="dxa"/>
            </w:tcMar>
            <w:vAlign w:val="center"/>
          </w:tcPr>
          <w:p>
            <w:pPr>
              <w:widowControl/>
              <w:spacing w:after="0"/>
            </w:pPr>
            <w:r>
              <w:rPr>
                <w:rFonts w:ascii="Calibri" w:hAnsi="Calibri"/>
                <w:sz w:val="15"/>
              </w:rPr>
              <w:t>Incident facts, impact, classification, decisions, reporting, actions and closure.</w:t>
            </w:r>
          </w:p>
        </w:tc>
      </w:tr>
      <w:tr>
        <w:trPr>
          <w:cantSplit/>
        </w:trPr>
        <w:tc>
          <w:tcPr>
            <w:tcW w:type="dxa" w:w="835"/>
            <w:tcMar>
              <w:top w:w="90" w:type="dxa"/>
              <w:start w:w="120" w:type="dxa"/>
              <w:bottom w:w="90" w:type="dxa"/>
              <w:end w:w="120" w:type="dxa"/>
            </w:tcMar>
            <w:vAlign w:val="center"/>
            <w:shd w:fill="F8FAFC"/>
          </w:tcPr>
          <w:p>
            <w:pPr>
              <w:widowControl/>
              <w:spacing w:after="0"/>
            </w:pPr>
            <w:r>
              <w:rPr>
                <w:rFonts w:ascii="Calibri" w:hAnsi="Calibri"/>
                <w:b/>
                <w:color w:val="1F4D78"/>
                <w:sz w:val="15"/>
              </w:rPr>
              <w:t>D08</w:t>
            </w:r>
          </w:p>
        </w:tc>
        <w:tc>
          <w:tcPr>
            <w:tcW w:type="dxa" w:w="4003"/>
            <w:tcMar>
              <w:top w:w="90" w:type="dxa"/>
              <w:start w:w="120" w:type="dxa"/>
              <w:bottom w:w="90" w:type="dxa"/>
              <w:end w:w="120" w:type="dxa"/>
            </w:tcMar>
            <w:vAlign w:val="center"/>
            <w:shd w:fill="F8FAFC"/>
          </w:tcPr>
          <w:p>
            <w:pPr>
              <w:widowControl/>
              <w:spacing w:after="0"/>
            </w:pPr>
            <w:r>
              <w:rPr>
                <w:rFonts w:ascii="Calibri" w:hAnsi="Calibri"/>
                <w:sz w:val="15"/>
              </w:rPr>
              <w:t>Digital Operational Resilience Testing Programme &amp; Reports</w:t>
            </w:r>
          </w:p>
        </w:tc>
        <w:tc>
          <w:tcPr>
            <w:tcW w:type="dxa" w:w="5040"/>
            <w:tcMar>
              <w:top w:w="90" w:type="dxa"/>
              <w:start w:w="120" w:type="dxa"/>
              <w:bottom w:w="90" w:type="dxa"/>
              <w:end w:w="120" w:type="dxa"/>
            </w:tcMar>
            <w:vAlign w:val="center"/>
            <w:shd w:fill="F8FAFC"/>
          </w:tcPr>
          <w:p>
            <w:pPr>
              <w:widowControl/>
              <w:spacing w:after="0"/>
            </w:pPr>
            <w:r>
              <w:rPr>
                <w:rFonts w:ascii="Calibri" w:hAnsi="Calibri"/>
                <w:sz w:val="15"/>
              </w:rPr>
              <w:t>Risk-based testing, results, deficiencies, remediation and retesting.</w:t>
            </w:r>
          </w:p>
        </w:tc>
      </w:tr>
      <w:tr>
        <w:trPr>
          <w:cantSplit/>
        </w:trPr>
        <w:tc>
          <w:tcPr>
            <w:tcW w:type="dxa" w:w="835"/>
            <w:tcMar>
              <w:top w:w="90" w:type="dxa"/>
              <w:start w:w="120" w:type="dxa"/>
              <w:bottom w:w="90" w:type="dxa"/>
              <w:end w:w="120" w:type="dxa"/>
            </w:tcMar>
            <w:vAlign w:val="center"/>
          </w:tcPr>
          <w:p>
            <w:pPr>
              <w:widowControl/>
              <w:spacing w:after="0"/>
            </w:pPr>
            <w:r>
              <w:rPr>
                <w:rFonts w:ascii="Calibri" w:hAnsi="Calibri"/>
                <w:b/>
                <w:color w:val="1F4D78"/>
                <w:sz w:val="15"/>
              </w:rPr>
              <w:t>D09</w:t>
            </w:r>
          </w:p>
        </w:tc>
        <w:tc>
          <w:tcPr>
            <w:tcW w:type="dxa" w:w="4003"/>
            <w:tcMar>
              <w:top w:w="90" w:type="dxa"/>
              <w:start w:w="120" w:type="dxa"/>
              <w:bottom w:w="90" w:type="dxa"/>
              <w:end w:w="120" w:type="dxa"/>
            </w:tcMar>
            <w:vAlign w:val="center"/>
          </w:tcPr>
          <w:p>
            <w:pPr>
              <w:widowControl/>
              <w:spacing w:after="0"/>
            </w:pPr>
            <w:r>
              <w:rPr>
                <w:rFonts w:ascii="Calibri" w:hAnsi="Calibri"/>
                <w:sz w:val="15"/>
              </w:rPr>
              <w:t>ICT Third-Party Risk Management Procedure</w:t>
            </w:r>
          </w:p>
        </w:tc>
        <w:tc>
          <w:tcPr>
            <w:tcW w:type="dxa" w:w="5040"/>
            <w:tcMar>
              <w:top w:w="90" w:type="dxa"/>
              <w:start w:w="120" w:type="dxa"/>
              <w:bottom w:w="90" w:type="dxa"/>
              <w:end w:w="120" w:type="dxa"/>
            </w:tcMar>
            <w:vAlign w:val="center"/>
          </w:tcPr>
          <w:p>
            <w:pPr>
              <w:widowControl/>
              <w:spacing w:after="0"/>
            </w:pPr>
            <w:r>
              <w:rPr>
                <w:rFonts w:ascii="Calibri" w:hAnsi="Calibri"/>
                <w:sz w:val="15"/>
              </w:rPr>
              <w:t>Onboarding, due diligence, criticality, approval, monitoring, notification and change.</w:t>
            </w:r>
          </w:p>
        </w:tc>
      </w:tr>
      <w:tr>
        <w:trPr>
          <w:cantSplit/>
        </w:trPr>
        <w:tc>
          <w:tcPr>
            <w:tcW w:type="dxa" w:w="835"/>
            <w:tcMar>
              <w:top w:w="90" w:type="dxa"/>
              <w:start w:w="120" w:type="dxa"/>
              <w:bottom w:w="90" w:type="dxa"/>
              <w:end w:w="120" w:type="dxa"/>
            </w:tcMar>
            <w:vAlign w:val="center"/>
            <w:shd w:fill="F8FAFC"/>
          </w:tcPr>
          <w:p>
            <w:pPr>
              <w:widowControl/>
              <w:spacing w:after="0"/>
            </w:pPr>
            <w:r>
              <w:rPr>
                <w:rFonts w:ascii="Calibri" w:hAnsi="Calibri"/>
                <w:b/>
                <w:color w:val="1F4D78"/>
                <w:sz w:val="15"/>
              </w:rPr>
              <w:t>D10</w:t>
            </w:r>
          </w:p>
        </w:tc>
        <w:tc>
          <w:tcPr>
            <w:tcW w:type="dxa" w:w="4003"/>
            <w:tcMar>
              <w:top w:w="90" w:type="dxa"/>
              <w:start w:w="120" w:type="dxa"/>
              <w:bottom w:w="90" w:type="dxa"/>
              <w:end w:w="120" w:type="dxa"/>
            </w:tcMar>
            <w:vAlign w:val="center"/>
            <w:shd w:fill="F8FAFC"/>
          </w:tcPr>
          <w:p>
            <w:pPr>
              <w:widowControl/>
              <w:spacing w:after="0"/>
            </w:pPr>
            <w:r>
              <w:rPr>
                <w:rFonts w:ascii="Calibri" w:hAnsi="Calibri"/>
                <w:sz w:val="15"/>
              </w:rPr>
              <w:t>DORA Register of Information</w:t>
            </w:r>
          </w:p>
        </w:tc>
        <w:tc>
          <w:tcPr>
            <w:tcW w:type="dxa" w:w="5040"/>
            <w:tcMar>
              <w:top w:w="90" w:type="dxa"/>
              <w:start w:w="120" w:type="dxa"/>
              <w:bottom w:w="90" w:type="dxa"/>
              <w:end w:w="120" w:type="dxa"/>
            </w:tcMar>
            <w:vAlign w:val="center"/>
            <w:shd w:fill="F8FAFC"/>
          </w:tcPr>
          <w:p>
            <w:pPr>
              <w:widowControl/>
              <w:spacing w:after="0"/>
            </w:pPr>
            <w:r>
              <w:rPr>
                <w:rFonts w:ascii="Calibri" w:hAnsi="Calibri"/>
                <w:sz w:val="15"/>
              </w:rPr>
              <w:t>Prescribed information on ICT contractual arrangements and relevant subcontractors.</w:t>
            </w:r>
          </w:p>
        </w:tc>
      </w:tr>
      <w:tr>
        <w:trPr>
          <w:cantSplit/>
        </w:trPr>
        <w:tc>
          <w:tcPr>
            <w:tcW w:type="dxa" w:w="835"/>
            <w:tcMar>
              <w:top w:w="90" w:type="dxa"/>
              <w:start w:w="120" w:type="dxa"/>
              <w:bottom w:w="90" w:type="dxa"/>
              <w:end w:w="120" w:type="dxa"/>
            </w:tcMar>
            <w:vAlign w:val="center"/>
          </w:tcPr>
          <w:p>
            <w:pPr>
              <w:widowControl/>
              <w:spacing w:after="0"/>
            </w:pPr>
            <w:r>
              <w:rPr>
                <w:rFonts w:ascii="Calibri" w:hAnsi="Calibri"/>
                <w:b/>
                <w:color w:val="1F4D78"/>
                <w:sz w:val="15"/>
              </w:rPr>
              <w:t>D11</w:t>
            </w:r>
          </w:p>
        </w:tc>
        <w:tc>
          <w:tcPr>
            <w:tcW w:type="dxa" w:w="4003"/>
            <w:tcMar>
              <w:top w:w="90" w:type="dxa"/>
              <w:start w:w="120" w:type="dxa"/>
              <w:bottom w:w="90" w:type="dxa"/>
              <w:end w:w="120" w:type="dxa"/>
            </w:tcMar>
            <w:vAlign w:val="center"/>
          </w:tcPr>
          <w:p>
            <w:pPr>
              <w:widowControl/>
              <w:spacing w:after="0"/>
            </w:pPr>
            <w:r>
              <w:rPr>
                <w:rFonts w:ascii="Calibri" w:hAnsi="Calibri"/>
                <w:sz w:val="15"/>
              </w:rPr>
              <w:t>ICT Provider Compliance Pack</w:t>
            </w:r>
          </w:p>
        </w:tc>
        <w:tc>
          <w:tcPr>
            <w:tcW w:type="dxa" w:w="5040"/>
            <w:tcMar>
              <w:top w:w="90" w:type="dxa"/>
              <w:start w:w="120" w:type="dxa"/>
              <w:bottom w:w="90" w:type="dxa"/>
              <w:end w:w="120" w:type="dxa"/>
            </w:tcMar>
            <w:vAlign w:val="center"/>
          </w:tcPr>
          <w:p>
            <w:pPr>
              <w:widowControl/>
              <w:spacing w:after="0"/>
            </w:pPr>
            <w:r>
              <w:rPr>
                <w:rFonts w:ascii="Calibri" w:hAnsi="Calibri"/>
                <w:sz w:val="15"/>
              </w:rPr>
              <w:t>Provider-level due diligence, assessment, contract mapping, concentration, exit and evidence.</w:t>
            </w:r>
          </w:p>
        </w:tc>
      </w:tr>
      <w:tr>
        <w:trPr>
          <w:cantSplit/>
        </w:trPr>
        <w:tc>
          <w:tcPr>
            <w:tcW w:type="dxa" w:w="835"/>
            <w:tcMar>
              <w:top w:w="90" w:type="dxa"/>
              <w:start w:w="120" w:type="dxa"/>
              <w:bottom w:w="90" w:type="dxa"/>
              <w:end w:w="120" w:type="dxa"/>
            </w:tcMar>
            <w:vAlign w:val="center"/>
            <w:shd w:fill="F8FAFC"/>
          </w:tcPr>
          <w:p>
            <w:pPr>
              <w:widowControl/>
              <w:spacing w:after="0"/>
            </w:pPr>
            <w:r>
              <w:rPr>
                <w:rFonts w:ascii="Calibri" w:hAnsi="Calibri"/>
                <w:b/>
                <w:color w:val="1F4D78"/>
                <w:sz w:val="15"/>
              </w:rPr>
              <w:t>D12</w:t>
            </w:r>
          </w:p>
        </w:tc>
        <w:tc>
          <w:tcPr>
            <w:tcW w:type="dxa" w:w="4003"/>
            <w:tcMar>
              <w:top w:w="90" w:type="dxa"/>
              <w:start w:w="120" w:type="dxa"/>
              <w:bottom w:w="90" w:type="dxa"/>
              <w:end w:w="120" w:type="dxa"/>
            </w:tcMar>
            <w:vAlign w:val="center"/>
            <w:shd w:fill="F8FAFC"/>
          </w:tcPr>
          <w:p>
            <w:pPr>
              <w:widowControl/>
              <w:spacing w:after="0"/>
            </w:pPr>
            <w:r>
              <w:rPr>
                <w:rFonts w:ascii="Calibri" w:hAnsi="Calibri"/>
                <w:sz w:val="15"/>
              </w:rPr>
              <w:t>ICT/DORA Training Programme &amp; Records</w:t>
            </w:r>
          </w:p>
        </w:tc>
        <w:tc>
          <w:tcPr>
            <w:tcW w:type="dxa" w:w="5040"/>
            <w:tcMar>
              <w:top w:w="90" w:type="dxa"/>
              <w:start w:w="120" w:type="dxa"/>
              <w:bottom w:w="90" w:type="dxa"/>
              <w:end w:w="120" w:type="dxa"/>
            </w:tcMar>
            <w:vAlign w:val="center"/>
            <w:shd w:fill="F8FAFC"/>
          </w:tcPr>
          <w:p>
            <w:pPr>
              <w:widowControl/>
              <w:spacing w:after="0"/>
            </w:pPr>
            <w:r>
              <w:rPr>
                <w:rFonts w:ascii="Calibri" w:hAnsi="Calibri"/>
                <w:sz w:val="15"/>
              </w:rPr>
              <w:t>Management-body, staff and role-specific training and completion records.</w:t>
            </w:r>
          </w:p>
        </w:tc>
      </w:tr>
      <w:tr>
        <w:trPr>
          <w:cantSplit/>
        </w:trPr>
        <w:tc>
          <w:tcPr>
            <w:tcW w:type="dxa" w:w="835"/>
            <w:tcMar>
              <w:top w:w="90" w:type="dxa"/>
              <w:start w:w="120" w:type="dxa"/>
              <w:bottom w:w="90" w:type="dxa"/>
              <w:end w:w="120" w:type="dxa"/>
            </w:tcMar>
            <w:vAlign w:val="center"/>
          </w:tcPr>
          <w:p>
            <w:pPr>
              <w:widowControl/>
              <w:spacing w:after="0"/>
            </w:pPr>
            <w:r>
              <w:rPr>
                <w:rFonts w:ascii="Calibri" w:hAnsi="Calibri"/>
                <w:b/>
                <w:color w:val="1F4D78"/>
                <w:sz w:val="15"/>
              </w:rPr>
              <w:t>D13</w:t>
            </w:r>
          </w:p>
        </w:tc>
        <w:tc>
          <w:tcPr>
            <w:tcW w:type="dxa" w:w="4003"/>
            <w:tcMar>
              <w:top w:w="90" w:type="dxa"/>
              <w:start w:w="120" w:type="dxa"/>
              <w:bottom w:w="90" w:type="dxa"/>
              <w:end w:w="120" w:type="dxa"/>
            </w:tcMar>
            <w:vAlign w:val="center"/>
          </w:tcPr>
          <w:p>
            <w:pPr>
              <w:widowControl/>
              <w:spacing w:after="0"/>
            </w:pPr>
            <w:r>
              <w:rPr>
                <w:rFonts w:ascii="Calibri" w:hAnsi="Calibri"/>
                <w:sz w:val="15"/>
              </w:rPr>
              <w:t>Internal Audit &amp; Simplified Framework Review Pack</w:t>
            </w:r>
          </w:p>
        </w:tc>
        <w:tc>
          <w:tcPr>
            <w:tcW w:type="dxa" w:w="5040"/>
            <w:tcMar>
              <w:top w:w="90" w:type="dxa"/>
              <w:start w:w="120" w:type="dxa"/>
              <w:bottom w:w="90" w:type="dxa"/>
              <w:end w:w="120" w:type="dxa"/>
            </w:tcMar>
            <w:vAlign w:val="center"/>
          </w:tcPr>
          <w:p>
            <w:pPr>
              <w:widowControl/>
              <w:spacing w:after="0"/>
            </w:pPr>
            <w:r>
              <w:rPr>
                <w:rFonts w:ascii="Calibri" w:hAnsi="Calibri"/>
                <w:sz w:val="15"/>
              </w:rPr>
              <w:t>Audit planning, independent assurance, Article 41 report, findings and remediation.</w:t>
            </w:r>
          </w:p>
        </w:tc>
      </w:tr>
      <w:tr>
        <w:trPr>
          <w:cantSplit/>
        </w:trPr>
        <w:tc>
          <w:tcPr>
            <w:tcW w:type="dxa" w:w="835"/>
            <w:tcMar>
              <w:top w:w="90" w:type="dxa"/>
              <w:start w:w="120" w:type="dxa"/>
              <w:bottom w:w="90" w:type="dxa"/>
              <w:end w:w="120" w:type="dxa"/>
            </w:tcMar>
            <w:vAlign w:val="center"/>
            <w:shd w:fill="F8FAFC"/>
          </w:tcPr>
          <w:p>
            <w:pPr>
              <w:widowControl/>
              <w:spacing w:after="0"/>
            </w:pPr>
            <w:r>
              <w:rPr>
                <w:rFonts w:ascii="Calibri" w:hAnsi="Calibri"/>
                <w:b/>
                <w:color w:val="1F4D78"/>
                <w:sz w:val="15"/>
              </w:rPr>
              <w:t>D14</w:t>
            </w:r>
          </w:p>
        </w:tc>
        <w:tc>
          <w:tcPr>
            <w:tcW w:type="dxa" w:w="4003"/>
            <w:tcMar>
              <w:top w:w="90" w:type="dxa"/>
              <w:start w:w="120" w:type="dxa"/>
              <w:bottom w:w="90" w:type="dxa"/>
              <w:end w:w="120" w:type="dxa"/>
            </w:tcMar>
            <w:vAlign w:val="center"/>
            <w:shd w:fill="F8FAFC"/>
          </w:tcPr>
          <w:p>
            <w:pPr>
              <w:widowControl/>
              <w:spacing w:after="0"/>
            </w:pPr>
            <w:r>
              <w:rPr>
                <w:rFonts w:ascii="Calibri" w:hAnsi="Calibri"/>
                <w:sz w:val="15"/>
              </w:rPr>
              <w:t>ICT Control Evidence Register</w:t>
            </w:r>
          </w:p>
        </w:tc>
        <w:tc>
          <w:tcPr>
            <w:tcW w:type="dxa" w:w="5040"/>
            <w:tcMar>
              <w:top w:w="90" w:type="dxa"/>
              <w:start w:w="120" w:type="dxa"/>
              <w:bottom w:w="90" w:type="dxa"/>
              <w:end w:w="120" w:type="dxa"/>
            </w:tcMar>
            <w:vAlign w:val="center"/>
            <w:shd w:fill="F8FAFC"/>
          </w:tcPr>
          <w:p>
            <w:pPr>
              <w:widowControl/>
              <w:spacing w:after="0"/>
            </w:pPr>
            <w:r>
              <w:rPr>
                <w:rFonts w:ascii="Calibri" w:hAnsi="Calibri"/>
                <w:sz w:val="15"/>
              </w:rPr>
              <w:t>Index of current operational evidence, testing, review and remediation records.</w:t>
            </w:r>
          </w:p>
        </w:tc>
      </w:tr>
    </w:tbl>
    <w:p>
      <w:pPr>
        <w:widowControl/>
        <w:spacing w:after="0"/>
      </w:pPr>
    </w:p>
    <w:p>
      <w:pPr>
        <w:pStyle w:val="Heading2"/>
        <w:widowControl/>
      </w:pPr>
      <w:r>
        <w:t>8.1 Minimum control coverage</w:t>
      </w:r>
    </w:p>
    <w:tbl>
      <w:tblPr>
        <w:tblStyle w:val="TableGrid"/>
        <w:tblW w:type="auto" w:w="0"/>
        <w:jc w:val="center"/>
        <w:tblLayout w:type="fixed"/>
        <w:tblLook w:firstColumn="1" w:firstRow="1" w:lastColumn="0" w:lastRow="0" w:noHBand="0" w:noVBand="1" w:val="04A0"/>
      </w:tblPr>
      <w:tblGrid>
        <w:gridCol w:w="4536"/>
        <w:gridCol w:w="5342"/>
      </w:tblGrid>
      <w:tr>
        <w:trPr>
          <w:tblHeader w:val="true"/>
        </w:trPr>
        <w:tc>
          <w:tcPr>
            <w:tcW w:type="dxa" w:w="4536"/>
            <w:shd w:fill="17365D"/>
            <w:tcMar>
              <w:top w:w="90" w:type="dxa"/>
              <w:start w:w="120" w:type="dxa"/>
              <w:bottom w:w="90" w:type="dxa"/>
              <w:end w:w="120" w:type="dxa"/>
            </w:tcMar>
            <w:vAlign w:val="center"/>
          </w:tcPr>
          <w:p>
            <w:pPr>
              <w:widowControl/>
              <w:jc w:val="left"/>
            </w:pPr>
            <w:r>
              <w:rPr>
                <w:rFonts w:ascii="Calibri" w:hAnsi="Calibri"/>
                <w:b/>
                <w:color w:val="FFFFFF"/>
                <w:sz w:val="17"/>
              </w:rPr>
              <w:t>Framework outcome</w:t>
            </w:r>
          </w:p>
        </w:tc>
        <w:tc>
          <w:tcPr>
            <w:tcW w:type="dxa" w:w="5342"/>
            <w:shd w:fill="17365D"/>
            <w:tcMar>
              <w:top w:w="90" w:type="dxa"/>
              <w:start w:w="120" w:type="dxa"/>
              <w:bottom w:w="90" w:type="dxa"/>
              <w:end w:w="120" w:type="dxa"/>
            </w:tcMar>
            <w:vAlign w:val="center"/>
          </w:tcPr>
          <w:p>
            <w:pPr>
              <w:widowControl/>
              <w:jc w:val="left"/>
            </w:pPr>
            <w:r>
              <w:rPr>
                <w:rFonts w:ascii="Calibri" w:hAnsi="Calibri"/>
                <w:b/>
                <w:color w:val="FFFFFF"/>
                <w:sz w:val="17"/>
              </w:rPr>
              <w:t>Primary evidence</w:t>
            </w:r>
          </w:p>
        </w:tc>
      </w:tr>
      <w:tr>
        <w:trPr>
          <w:cantSplit/>
        </w:trPr>
        <w:tc>
          <w:tcPr>
            <w:tcW w:type="dxa" w:w="4536"/>
            <w:tcMar>
              <w:top w:w="90" w:type="dxa"/>
              <w:start w:w="120" w:type="dxa"/>
              <w:bottom w:w="90" w:type="dxa"/>
              <w:end w:w="120" w:type="dxa"/>
            </w:tcMar>
            <w:vAlign w:val="center"/>
          </w:tcPr>
          <w:p>
            <w:pPr>
              <w:widowControl/>
              <w:spacing w:after="0"/>
            </w:pPr>
            <w:r>
              <w:rPr>
                <w:rFonts w:ascii="Calibri" w:hAnsi="Calibri"/>
                <w:sz w:val="17"/>
              </w:rPr>
              <w:t>Functions, assets and interdependencies identified and classified</w:t>
            </w:r>
          </w:p>
        </w:tc>
        <w:tc>
          <w:tcPr>
            <w:tcW w:type="dxa" w:w="5342"/>
            <w:tcMar>
              <w:top w:w="90" w:type="dxa"/>
              <w:start w:w="120" w:type="dxa"/>
              <w:bottom w:w="90" w:type="dxa"/>
              <w:end w:w="120" w:type="dxa"/>
            </w:tcMar>
            <w:vAlign w:val="center"/>
          </w:tcPr>
          <w:p>
            <w:pPr>
              <w:widowControl/>
              <w:spacing w:after="0"/>
            </w:pPr>
            <w:r>
              <w:rPr>
                <w:rFonts w:ascii="Calibri" w:hAnsi="Calibri"/>
                <w:sz w:val="17"/>
              </w:rPr>
              <w:t>D04, supported by D03 and D11</w:t>
            </w:r>
          </w:p>
        </w:tc>
      </w:tr>
      <w:tr>
        <w:trPr>
          <w:cantSplit/>
        </w:trPr>
        <w:tc>
          <w:tcPr>
            <w:tcW w:type="dxa" w:w="4536"/>
            <w:tcMar>
              <w:top w:w="90" w:type="dxa"/>
              <w:start w:w="120" w:type="dxa"/>
              <w:bottom w:w="90" w:type="dxa"/>
              <w:end w:w="120" w:type="dxa"/>
            </w:tcMar>
            <w:vAlign w:val="center"/>
            <w:shd w:fill="F8FAFC"/>
          </w:tcPr>
          <w:p>
            <w:pPr>
              <w:widowControl/>
              <w:spacing w:after="0"/>
            </w:pPr>
            <w:r>
              <w:rPr>
                <w:rFonts w:ascii="Calibri" w:hAnsi="Calibri"/>
                <w:sz w:val="17"/>
              </w:rPr>
              <w:t>Information-security measures established and implemented</w:t>
            </w:r>
          </w:p>
        </w:tc>
        <w:tc>
          <w:tcPr>
            <w:tcW w:type="dxa" w:w="5342"/>
            <w:tcMar>
              <w:top w:w="90" w:type="dxa"/>
              <w:start w:w="120" w:type="dxa"/>
              <w:bottom w:w="90" w:type="dxa"/>
              <w:end w:w="120" w:type="dxa"/>
            </w:tcMar>
            <w:vAlign w:val="center"/>
            <w:shd w:fill="F8FAFC"/>
          </w:tcPr>
          <w:p>
            <w:pPr>
              <w:widowControl/>
              <w:spacing w:after="0"/>
            </w:pPr>
            <w:r>
              <w:rPr>
                <w:rFonts w:ascii="Calibri" w:hAnsi="Calibri"/>
                <w:sz w:val="17"/>
              </w:rPr>
              <w:t>D02, supported by D14</w:t>
            </w:r>
          </w:p>
        </w:tc>
      </w:tr>
      <w:tr>
        <w:trPr>
          <w:cantSplit/>
        </w:trPr>
        <w:tc>
          <w:tcPr>
            <w:tcW w:type="dxa" w:w="4536"/>
            <w:tcMar>
              <w:top w:w="90" w:type="dxa"/>
              <w:start w:w="120" w:type="dxa"/>
              <w:bottom w:w="90" w:type="dxa"/>
              <w:end w:w="120" w:type="dxa"/>
            </w:tcMar>
            <w:vAlign w:val="center"/>
          </w:tcPr>
          <w:p>
            <w:pPr>
              <w:widowControl/>
              <w:spacing w:after="0"/>
            </w:pPr>
            <w:r>
              <w:rPr>
                <w:rFonts w:ascii="Calibri" w:hAnsi="Calibri"/>
                <w:sz w:val="17"/>
              </w:rPr>
              <w:t>ICT risk identified, assessed, treated and monitored</w:t>
            </w:r>
          </w:p>
        </w:tc>
        <w:tc>
          <w:tcPr>
            <w:tcW w:type="dxa" w:w="5342"/>
            <w:tcMar>
              <w:top w:w="90" w:type="dxa"/>
              <w:start w:w="120" w:type="dxa"/>
              <w:bottom w:w="90" w:type="dxa"/>
              <w:end w:w="120" w:type="dxa"/>
            </w:tcMar>
            <w:vAlign w:val="center"/>
          </w:tcPr>
          <w:p>
            <w:pPr>
              <w:widowControl/>
              <w:spacing w:after="0"/>
            </w:pPr>
            <w:r>
              <w:rPr>
                <w:rFonts w:ascii="Calibri" w:hAnsi="Calibri"/>
                <w:sz w:val="17"/>
              </w:rPr>
              <w:t>D03 and D14</w:t>
            </w:r>
          </w:p>
        </w:tc>
      </w:tr>
      <w:tr>
        <w:trPr>
          <w:cantSplit/>
        </w:trPr>
        <w:tc>
          <w:tcPr>
            <w:tcW w:type="dxa" w:w="4536"/>
            <w:tcMar>
              <w:top w:w="90" w:type="dxa"/>
              <w:start w:w="120" w:type="dxa"/>
              <w:bottom w:w="90" w:type="dxa"/>
              <w:end w:w="120" w:type="dxa"/>
            </w:tcMar>
            <w:vAlign w:val="center"/>
            <w:shd w:fill="F8FAFC"/>
          </w:tcPr>
          <w:p>
            <w:pPr>
              <w:widowControl/>
              <w:spacing w:after="0"/>
            </w:pPr>
            <w:r>
              <w:rPr>
                <w:rFonts w:ascii="Calibri" w:hAnsi="Calibri"/>
                <w:sz w:val="17"/>
              </w:rPr>
              <w:t>Anomalies and incidents detected, escalated and handled</w:t>
            </w:r>
          </w:p>
        </w:tc>
        <w:tc>
          <w:tcPr>
            <w:tcW w:type="dxa" w:w="5342"/>
            <w:tcMar>
              <w:top w:w="90" w:type="dxa"/>
              <w:start w:w="120" w:type="dxa"/>
              <w:bottom w:w="90" w:type="dxa"/>
              <w:end w:w="120" w:type="dxa"/>
            </w:tcMar>
            <w:vAlign w:val="center"/>
            <w:shd w:fill="F8FAFC"/>
          </w:tcPr>
          <w:p>
            <w:pPr>
              <w:widowControl/>
              <w:spacing w:after="0"/>
            </w:pPr>
            <w:r>
              <w:rPr>
                <w:rFonts w:ascii="Calibri" w:hAnsi="Calibri"/>
                <w:sz w:val="17"/>
              </w:rPr>
              <w:t>D06 and D07</w:t>
            </w:r>
          </w:p>
        </w:tc>
      </w:tr>
      <w:tr>
        <w:trPr>
          <w:cantSplit/>
        </w:trPr>
        <w:tc>
          <w:tcPr>
            <w:tcW w:type="dxa" w:w="4536"/>
            <w:tcMar>
              <w:top w:w="90" w:type="dxa"/>
              <w:start w:w="120" w:type="dxa"/>
              <w:bottom w:w="90" w:type="dxa"/>
              <w:end w:w="120" w:type="dxa"/>
            </w:tcMar>
            <w:vAlign w:val="center"/>
          </w:tcPr>
          <w:p>
            <w:pPr>
              <w:widowControl/>
              <w:spacing w:after="0"/>
            </w:pPr>
            <w:r>
              <w:rPr>
                <w:rFonts w:ascii="Calibri" w:hAnsi="Calibri"/>
                <w:sz w:val="17"/>
              </w:rPr>
              <w:t>Critical functions can continue and recover</w:t>
            </w:r>
          </w:p>
        </w:tc>
        <w:tc>
          <w:tcPr>
            <w:tcW w:type="dxa" w:w="5342"/>
            <w:tcMar>
              <w:top w:w="90" w:type="dxa"/>
              <w:start w:w="120" w:type="dxa"/>
              <w:bottom w:w="90" w:type="dxa"/>
              <w:end w:w="120" w:type="dxa"/>
            </w:tcMar>
            <w:vAlign w:val="center"/>
          </w:tcPr>
          <w:p>
            <w:pPr>
              <w:widowControl/>
              <w:spacing w:after="0"/>
            </w:pPr>
            <w:r>
              <w:rPr>
                <w:rFonts w:ascii="Calibri" w:hAnsi="Calibri"/>
                <w:sz w:val="17"/>
              </w:rPr>
              <w:t>D05 and D08</w:t>
            </w:r>
          </w:p>
        </w:tc>
      </w:tr>
      <w:tr>
        <w:trPr>
          <w:cantSplit/>
        </w:trPr>
        <w:tc>
          <w:tcPr>
            <w:tcW w:type="dxa" w:w="4536"/>
            <w:tcMar>
              <w:top w:w="90" w:type="dxa"/>
              <w:start w:w="120" w:type="dxa"/>
              <w:bottom w:w="90" w:type="dxa"/>
              <w:end w:w="120" w:type="dxa"/>
            </w:tcMar>
            <w:vAlign w:val="center"/>
            <w:shd w:fill="F8FAFC"/>
          </w:tcPr>
          <w:p>
            <w:pPr>
              <w:widowControl/>
              <w:spacing w:after="0"/>
            </w:pPr>
            <w:r>
              <w:rPr>
                <w:rFonts w:ascii="Calibri" w:hAnsi="Calibri"/>
                <w:sz w:val="17"/>
              </w:rPr>
              <w:t>Controls and continuity arrangements tested</w:t>
            </w:r>
          </w:p>
        </w:tc>
        <w:tc>
          <w:tcPr>
            <w:tcW w:type="dxa" w:w="5342"/>
            <w:tcMar>
              <w:top w:w="90" w:type="dxa"/>
              <w:start w:w="120" w:type="dxa"/>
              <w:bottom w:w="90" w:type="dxa"/>
              <w:end w:w="120" w:type="dxa"/>
            </w:tcMar>
            <w:vAlign w:val="center"/>
            <w:shd w:fill="F8FAFC"/>
          </w:tcPr>
          <w:p>
            <w:pPr>
              <w:widowControl/>
              <w:spacing w:after="0"/>
            </w:pPr>
            <w:r>
              <w:rPr>
                <w:rFonts w:ascii="Calibri" w:hAnsi="Calibri"/>
                <w:sz w:val="17"/>
              </w:rPr>
              <w:t>D08 and D14</w:t>
            </w:r>
          </w:p>
        </w:tc>
      </w:tr>
      <w:tr>
        <w:trPr>
          <w:cantSplit/>
        </w:trPr>
        <w:tc>
          <w:tcPr>
            <w:tcW w:type="dxa" w:w="4536"/>
            <w:tcMar>
              <w:top w:w="90" w:type="dxa"/>
              <w:start w:w="120" w:type="dxa"/>
              <w:bottom w:w="90" w:type="dxa"/>
              <w:end w:w="120" w:type="dxa"/>
            </w:tcMar>
            <w:vAlign w:val="center"/>
          </w:tcPr>
          <w:p>
            <w:pPr>
              <w:widowControl/>
              <w:spacing w:after="0"/>
            </w:pPr>
            <w:r>
              <w:rPr>
                <w:rFonts w:ascii="Calibri" w:hAnsi="Calibri"/>
                <w:sz w:val="17"/>
              </w:rPr>
              <w:t>Third-party dependencies, contracts and exits managed</w:t>
            </w:r>
          </w:p>
        </w:tc>
        <w:tc>
          <w:tcPr>
            <w:tcW w:type="dxa" w:w="5342"/>
            <w:tcMar>
              <w:top w:w="90" w:type="dxa"/>
              <w:start w:w="120" w:type="dxa"/>
              <w:bottom w:w="90" w:type="dxa"/>
              <w:end w:w="120" w:type="dxa"/>
            </w:tcMar>
            <w:vAlign w:val="center"/>
          </w:tcPr>
          <w:p>
            <w:pPr>
              <w:widowControl/>
              <w:spacing w:after="0"/>
            </w:pPr>
            <w:r>
              <w:rPr>
                <w:rFonts w:ascii="Calibri" w:hAnsi="Calibri"/>
                <w:sz w:val="17"/>
              </w:rPr>
              <w:t>D09–D11</w:t>
            </w:r>
          </w:p>
        </w:tc>
      </w:tr>
      <w:tr>
        <w:trPr>
          <w:cantSplit/>
        </w:trPr>
        <w:tc>
          <w:tcPr>
            <w:tcW w:type="dxa" w:w="4536"/>
            <w:tcMar>
              <w:top w:w="90" w:type="dxa"/>
              <w:start w:w="120" w:type="dxa"/>
              <w:bottom w:w="90" w:type="dxa"/>
              <w:end w:w="120" w:type="dxa"/>
            </w:tcMar>
            <w:vAlign w:val="center"/>
            <w:shd w:fill="F8FAFC"/>
          </w:tcPr>
          <w:p>
            <w:pPr>
              <w:widowControl/>
              <w:spacing w:after="0"/>
            </w:pPr>
            <w:r>
              <w:rPr>
                <w:rFonts w:ascii="Calibri" w:hAnsi="Calibri"/>
                <w:sz w:val="17"/>
              </w:rPr>
              <w:t>Staff and management body trained</w:t>
            </w:r>
          </w:p>
        </w:tc>
        <w:tc>
          <w:tcPr>
            <w:tcW w:type="dxa" w:w="5342"/>
            <w:tcMar>
              <w:top w:w="90" w:type="dxa"/>
              <w:start w:w="120" w:type="dxa"/>
              <w:bottom w:w="90" w:type="dxa"/>
              <w:end w:w="120" w:type="dxa"/>
            </w:tcMar>
            <w:vAlign w:val="center"/>
            <w:shd w:fill="F8FAFC"/>
          </w:tcPr>
          <w:p>
            <w:pPr>
              <w:widowControl/>
              <w:spacing w:after="0"/>
            </w:pPr>
            <w:r>
              <w:rPr>
                <w:rFonts w:ascii="Calibri" w:hAnsi="Calibri"/>
                <w:sz w:val="17"/>
              </w:rPr>
              <w:t>D12</w:t>
            </w:r>
          </w:p>
        </w:tc>
      </w:tr>
      <w:tr>
        <w:trPr>
          <w:cantSplit/>
        </w:trPr>
        <w:tc>
          <w:tcPr>
            <w:tcW w:type="dxa" w:w="4536"/>
            <w:tcMar>
              <w:top w:w="90" w:type="dxa"/>
              <w:start w:w="120" w:type="dxa"/>
              <w:bottom w:w="90" w:type="dxa"/>
              <w:end w:w="120" w:type="dxa"/>
            </w:tcMar>
            <w:vAlign w:val="center"/>
          </w:tcPr>
          <w:p>
            <w:pPr>
              <w:widowControl/>
              <w:spacing w:after="0"/>
            </w:pPr>
            <w:r>
              <w:rPr>
                <w:rFonts w:ascii="Calibri" w:hAnsi="Calibri"/>
                <w:sz w:val="17"/>
              </w:rPr>
              <w:t>Independent assurance, framework review and remediation</w:t>
            </w:r>
          </w:p>
        </w:tc>
        <w:tc>
          <w:tcPr>
            <w:tcW w:type="dxa" w:w="5342"/>
            <w:tcMar>
              <w:top w:w="90" w:type="dxa"/>
              <w:start w:w="120" w:type="dxa"/>
              <w:bottom w:w="90" w:type="dxa"/>
              <w:end w:w="120" w:type="dxa"/>
            </w:tcMar>
            <w:vAlign w:val="center"/>
          </w:tcPr>
          <w:p>
            <w:pPr>
              <w:widowControl/>
              <w:spacing w:after="0"/>
            </w:pPr>
            <w:r>
              <w:rPr>
                <w:rFonts w:ascii="Calibri" w:hAnsi="Calibri"/>
                <w:sz w:val="17"/>
              </w:rPr>
              <w:t>D13</w:t>
            </w:r>
          </w:p>
        </w:tc>
      </w:tr>
    </w:tbl>
    <w:p>
      <w:pPr>
        <w:widowControl/>
        <w:spacing w:after="0"/>
      </w:pPr>
    </w:p>
    <w:p>
      <w:pPr>
        <w:pStyle w:val="Heading2"/>
        <w:widowControl/>
      </w:pPr>
      <w:r>
        <w:t>8.2 Policy hierarchy and conflicts</w:t>
      </w:r>
    </w:p>
    <w:p>
      <w:pPr>
        <w:widowControl/>
      </w:pPr>
      <w:r>
        <w:t>The firm shall apply this order of precedence: (i) applicable law and binding supervisory requirements; (ii) this Framework and management-body decisions; (iii) the more specific D02–D14 instrument; and (iv) work instructions and provider procedures. Any unresolved inconsistency shall be escalated to the document owner and compliance function and, if material, to the management body.</w:t>
      </w:r>
    </w:p>
    <w:p>
      <w:pPr>
        <w:pStyle w:val="Heading1"/>
        <w:widowControl/>
      </w:pPr>
      <w:r>
        <w:t>9. Monitoring and management-body reporting</w:t>
      </w:r>
    </w:p>
    <w:p>
      <w:pPr>
        <w:pStyle w:val="Heading2"/>
        <w:widowControl/>
      </w:pPr>
      <w:r>
        <w:t>9.1 Reporting arrangements</w:t>
      </w:r>
    </w:p>
    <w:tbl>
      <w:tblPr>
        <w:tblStyle w:val="TableGrid"/>
        <w:tblW w:type="auto" w:w="0"/>
        <w:jc w:val="center"/>
        <w:tblLayout w:type="fixed"/>
        <w:tblLook w:firstColumn="1" w:firstRow="1" w:lastColumn="0" w:lastRow="0" w:noHBand="0" w:noVBand="1" w:val="04A0"/>
      </w:tblPr>
      <w:tblGrid>
        <w:gridCol w:w="3096"/>
        <w:gridCol w:w="1944"/>
        <w:gridCol w:w="3196"/>
        <w:gridCol w:w="1641"/>
      </w:tblGrid>
      <w:tr>
        <w:trPr>
          <w:tblHeader w:val="true"/>
        </w:trPr>
        <w:tc>
          <w:tcPr>
            <w:tcW w:type="dxa" w:w="3096"/>
            <w:shd w:fill="17365D"/>
            <w:tcMar>
              <w:top w:w="90" w:type="dxa"/>
              <w:start w:w="120" w:type="dxa"/>
              <w:bottom w:w="90" w:type="dxa"/>
              <w:end w:w="120" w:type="dxa"/>
            </w:tcMar>
            <w:vAlign w:val="center"/>
          </w:tcPr>
          <w:p>
            <w:pPr>
              <w:widowControl/>
              <w:jc w:val="left"/>
            </w:pPr>
            <w:r>
              <w:rPr>
                <w:rFonts w:ascii="Calibri" w:hAnsi="Calibri"/>
                <w:b/>
                <w:color w:val="FFFFFF"/>
                <w:sz w:val="15"/>
              </w:rPr>
              <w:t>Report / event</w:t>
            </w:r>
          </w:p>
        </w:tc>
        <w:tc>
          <w:tcPr>
            <w:tcW w:type="dxa" w:w="1944"/>
            <w:shd w:fill="17365D"/>
            <w:tcMar>
              <w:top w:w="90" w:type="dxa"/>
              <w:start w:w="120" w:type="dxa"/>
              <w:bottom w:w="90" w:type="dxa"/>
              <w:end w:w="120" w:type="dxa"/>
            </w:tcMar>
            <w:vAlign w:val="center"/>
          </w:tcPr>
          <w:p>
            <w:pPr>
              <w:widowControl/>
              <w:jc w:val="left"/>
            </w:pPr>
            <w:r>
              <w:rPr>
                <w:rFonts w:ascii="Calibri" w:hAnsi="Calibri"/>
                <w:b/>
                <w:color w:val="FFFFFF"/>
                <w:sz w:val="15"/>
              </w:rPr>
              <w:t>Recipient</w:t>
            </w:r>
          </w:p>
        </w:tc>
        <w:tc>
          <w:tcPr>
            <w:tcW w:type="dxa" w:w="3196"/>
            <w:shd w:fill="17365D"/>
            <w:tcMar>
              <w:top w:w="90" w:type="dxa"/>
              <w:start w:w="120" w:type="dxa"/>
              <w:bottom w:w="90" w:type="dxa"/>
              <w:end w:w="120" w:type="dxa"/>
            </w:tcMar>
            <w:vAlign w:val="center"/>
          </w:tcPr>
          <w:p>
            <w:pPr>
              <w:widowControl/>
              <w:jc w:val="left"/>
            </w:pPr>
            <w:r>
              <w:rPr>
                <w:rFonts w:ascii="Calibri" w:hAnsi="Calibri"/>
                <w:b/>
                <w:color w:val="FFFFFF"/>
                <w:sz w:val="15"/>
              </w:rPr>
              <w:t>Minimum frequency / timing</w:t>
            </w:r>
          </w:p>
        </w:tc>
        <w:tc>
          <w:tcPr>
            <w:tcW w:type="dxa" w:w="1641"/>
            <w:shd w:fill="17365D"/>
            <w:tcMar>
              <w:top w:w="90" w:type="dxa"/>
              <w:start w:w="120" w:type="dxa"/>
              <w:bottom w:w="90" w:type="dxa"/>
              <w:end w:w="120" w:type="dxa"/>
            </w:tcMar>
            <w:vAlign w:val="center"/>
          </w:tcPr>
          <w:p>
            <w:pPr>
              <w:widowControl/>
              <w:jc w:val="left"/>
            </w:pPr>
            <w:r>
              <w:rPr>
                <w:rFonts w:ascii="Calibri" w:hAnsi="Calibri"/>
                <w:b/>
                <w:color w:val="FFFFFF"/>
                <w:sz w:val="15"/>
              </w:rPr>
              <w:t>Owner</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sz w:val="15"/>
              </w:rPr>
              <w:t>ICT risk and resilience dashboard</w:t>
            </w:r>
          </w:p>
        </w:tc>
        <w:tc>
          <w:tcPr>
            <w:tcW w:type="dxa" w:w="1944"/>
            <w:tcMar>
              <w:top w:w="90" w:type="dxa"/>
              <w:start w:w="120" w:type="dxa"/>
              <w:bottom w:w="90" w:type="dxa"/>
              <w:end w:w="120" w:type="dxa"/>
            </w:tcMar>
            <w:vAlign w:val="center"/>
          </w:tcPr>
          <w:p>
            <w:pPr>
              <w:widowControl/>
              <w:spacing w:after="0"/>
            </w:pPr>
            <w:r>
              <w:rPr>
                <w:rFonts w:ascii="Calibri" w:hAnsi="Calibri"/>
                <w:sz w:val="15"/>
              </w:rPr>
              <w:t>Management body</w:t>
            </w:r>
          </w:p>
        </w:tc>
        <w:tc>
          <w:tcPr>
            <w:tcW w:type="dxa" w:w="3196"/>
            <w:tcMar>
              <w:top w:w="90" w:type="dxa"/>
              <w:start w:w="120" w:type="dxa"/>
              <w:bottom w:w="90" w:type="dxa"/>
              <w:end w:w="120" w:type="dxa"/>
            </w:tcMar>
            <w:vAlign w:val="center"/>
          </w:tcPr>
          <w:p>
            <w:pPr>
              <w:widowControl/>
              <w:spacing w:after="0"/>
            </w:pPr>
            <w:r>
              <w:rPr>
                <w:rFonts w:ascii="Calibri" w:hAnsi="Calibri"/>
                <w:sz w:val="15"/>
              </w:rPr>
              <w:t>[QUARTERLY] and on material deterioration</w:t>
            </w:r>
          </w:p>
        </w:tc>
        <w:tc>
          <w:tcPr>
            <w:tcW w:type="dxa" w:w="1641"/>
            <w:tcMar>
              <w:top w:w="90" w:type="dxa"/>
              <w:start w:w="120" w:type="dxa"/>
              <w:bottom w:w="90" w:type="dxa"/>
              <w:end w:w="120" w:type="dxa"/>
            </w:tcMar>
            <w:vAlign w:val="center"/>
          </w:tcPr>
          <w:p>
            <w:pPr>
              <w:widowControl/>
              <w:spacing w:after="0"/>
            </w:pPr>
            <w:r>
              <w:rPr>
                <w:rFonts w:ascii="Calibri" w:hAnsi="Calibri"/>
                <w:sz w:val="15"/>
              </w:rPr>
              <w:t>[ROLE]</w:t>
            </w:r>
          </w:p>
        </w:tc>
      </w:tr>
      <w:tr>
        <w:trPr>
          <w:cantSplit/>
        </w:trPr>
        <w:tc>
          <w:tcPr>
            <w:tcW w:type="dxa" w:w="3096"/>
            <w:tcMar>
              <w:top w:w="90" w:type="dxa"/>
              <w:start w:w="120" w:type="dxa"/>
              <w:bottom w:w="90" w:type="dxa"/>
              <w:end w:w="120" w:type="dxa"/>
            </w:tcMar>
            <w:vAlign w:val="center"/>
            <w:shd w:fill="F8FAFC"/>
          </w:tcPr>
          <w:p>
            <w:pPr>
              <w:widowControl/>
              <w:spacing w:after="0"/>
            </w:pPr>
            <w:r>
              <w:rPr>
                <w:rFonts w:ascii="Calibri" w:hAnsi="Calibri"/>
                <w:sz w:val="15"/>
              </w:rPr>
              <w:t>Major ICT-related incident</w:t>
            </w:r>
          </w:p>
        </w:tc>
        <w:tc>
          <w:tcPr>
            <w:tcW w:type="dxa" w:w="1944"/>
            <w:tcMar>
              <w:top w:w="90" w:type="dxa"/>
              <w:start w:w="120" w:type="dxa"/>
              <w:bottom w:w="90" w:type="dxa"/>
              <w:end w:w="120" w:type="dxa"/>
            </w:tcMar>
            <w:vAlign w:val="center"/>
            <w:shd w:fill="F8FAFC"/>
          </w:tcPr>
          <w:p>
            <w:pPr>
              <w:widowControl/>
              <w:spacing w:after="0"/>
            </w:pPr>
            <w:r>
              <w:rPr>
                <w:rFonts w:ascii="Calibri" w:hAnsi="Calibri"/>
                <w:sz w:val="15"/>
              </w:rPr>
              <w:t>Chair / management body</w:t>
            </w:r>
          </w:p>
        </w:tc>
        <w:tc>
          <w:tcPr>
            <w:tcW w:type="dxa" w:w="3196"/>
            <w:tcMar>
              <w:top w:w="90" w:type="dxa"/>
              <w:start w:w="120" w:type="dxa"/>
              <w:bottom w:w="90" w:type="dxa"/>
              <w:end w:w="120" w:type="dxa"/>
            </w:tcMar>
            <w:vAlign w:val="center"/>
            <w:shd w:fill="F8FAFC"/>
          </w:tcPr>
          <w:p>
            <w:pPr>
              <w:widowControl/>
              <w:spacing w:after="0"/>
            </w:pPr>
            <w:r>
              <w:rPr>
                <w:rFonts w:ascii="Calibri" w:hAnsi="Calibri"/>
                <w:sz w:val="15"/>
              </w:rPr>
              <w:t>Immediate escalation; formal updates until stabilised</w:t>
            </w:r>
          </w:p>
        </w:tc>
        <w:tc>
          <w:tcPr>
            <w:tcW w:type="dxa" w:w="1641"/>
            <w:tcMar>
              <w:top w:w="90" w:type="dxa"/>
              <w:start w:w="120" w:type="dxa"/>
              <w:bottom w:w="90" w:type="dxa"/>
              <w:end w:w="120" w:type="dxa"/>
            </w:tcMar>
            <w:vAlign w:val="center"/>
            <w:shd w:fill="F8FAFC"/>
          </w:tcPr>
          <w:p>
            <w:pPr>
              <w:widowControl/>
              <w:spacing w:after="0"/>
            </w:pPr>
            <w:r>
              <w:rPr>
                <w:rFonts w:ascii="Calibri" w:hAnsi="Calibri"/>
                <w:sz w:val="15"/>
              </w:rPr>
              <w:t>Incident manager</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sz w:val="15"/>
              </w:rPr>
              <w:t>Risk outside tolerance</w:t>
            </w:r>
          </w:p>
        </w:tc>
        <w:tc>
          <w:tcPr>
            <w:tcW w:type="dxa" w:w="1944"/>
            <w:tcMar>
              <w:top w:w="90" w:type="dxa"/>
              <w:start w:w="120" w:type="dxa"/>
              <w:bottom w:w="90" w:type="dxa"/>
              <w:end w:w="120" w:type="dxa"/>
            </w:tcMar>
            <w:vAlign w:val="center"/>
          </w:tcPr>
          <w:p>
            <w:pPr>
              <w:widowControl/>
              <w:spacing w:after="0"/>
            </w:pPr>
            <w:r>
              <w:rPr>
                <w:rFonts w:ascii="Calibri" w:hAnsi="Calibri"/>
                <w:sz w:val="15"/>
              </w:rPr>
              <w:t>Relevant executive / management body</w:t>
            </w:r>
          </w:p>
        </w:tc>
        <w:tc>
          <w:tcPr>
            <w:tcW w:type="dxa" w:w="3196"/>
            <w:tcMar>
              <w:top w:w="90" w:type="dxa"/>
              <w:start w:w="120" w:type="dxa"/>
              <w:bottom w:w="90" w:type="dxa"/>
              <w:end w:w="120" w:type="dxa"/>
            </w:tcMar>
            <w:vAlign w:val="center"/>
          </w:tcPr>
          <w:p>
            <w:pPr>
              <w:widowControl/>
              <w:spacing w:after="0"/>
            </w:pPr>
            <w:r>
              <w:rPr>
                <w:rFonts w:ascii="Calibri" w:hAnsi="Calibri"/>
                <w:sz w:val="15"/>
              </w:rPr>
              <w:t>Without undue delay under section 6.3</w:t>
            </w:r>
          </w:p>
        </w:tc>
        <w:tc>
          <w:tcPr>
            <w:tcW w:type="dxa" w:w="1641"/>
            <w:tcMar>
              <w:top w:w="90" w:type="dxa"/>
              <w:start w:w="120" w:type="dxa"/>
              <w:bottom w:w="90" w:type="dxa"/>
              <w:end w:w="120" w:type="dxa"/>
            </w:tcMar>
            <w:vAlign w:val="center"/>
          </w:tcPr>
          <w:p>
            <w:pPr>
              <w:widowControl/>
              <w:spacing w:after="0"/>
            </w:pPr>
            <w:r>
              <w:rPr>
                <w:rFonts w:ascii="Calibri" w:hAnsi="Calibri"/>
                <w:sz w:val="15"/>
              </w:rPr>
              <w:t>Risk owner</w:t>
            </w:r>
          </w:p>
        </w:tc>
      </w:tr>
      <w:tr>
        <w:trPr>
          <w:cantSplit/>
        </w:trPr>
        <w:tc>
          <w:tcPr>
            <w:tcW w:type="dxa" w:w="3096"/>
            <w:tcMar>
              <w:top w:w="90" w:type="dxa"/>
              <w:start w:w="120" w:type="dxa"/>
              <w:bottom w:w="90" w:type="dxa"/>
              <w:end w:w="120" w:type="dxa"/>
            </w:tcMar>
            <w:vAlign w:val="center"/>
            <w:shd w:fill="F8FAFC"/>
          </w:tcPr>
          <w:p>
            <w:pPr>
              <w:widowControl/>
              <w:spacing w:after="0"/>
            </w:pPr>
            <w:r>
              <w:rPr>
                <w:rFonts w:ascii="Calibri" w:hAnsi="Calibri"/>
                <w:sz w:val="15"/>
              </w:rPr>
              <w:t>Critical audit or test finding</w:t>
            </w:r>
          </w:p>
        </w:tc>
        <w:tc>
          <w:tcPr>
            <w:tcW w:type="dxa" w:w="1944"/>
            <w:tcMar>
              <w:top w:w="90" w:type="dxa"/>
              <w:start w:w="120" w:type="dxa"/>
              <w:bottom w:w="90" w:type="dxa"/>
              <w:end w:w="120" w:type="dxa"/>
            </w:tcMar>
            <w:vAlign w:val="center"/>
            <w:shd w:fill="F8FAFC"/>
          </w:tcPr>
          <w:p>
            <w:pPr>
              <w:widowControl/>
              <w:spacing w:after="0"/>
            </w:pPr>
            <w:r>
              <w:rPr>
                <w:rFonts w:ascii="Calibri" w:hAnsi="Calibri"/>
                <w:sz w:val="15"/>
              </w:rPr>
              <w:t>Management body</w:t>
            </w:r>
          </w:p>
        </w:tc>
        <w:tc>
          <w:tcPr>
            <w:tcW w:type="dxa" w:w="3196"/>
            <w:tcMar>
              <w:top w:w="90" w:type="dxa"/>
              <w:start w:w="120" w:type="dxa"/>
              <w:bottom w:w="90" w:type="dxa"/>
              <w:end w:w="120" w:type="dxa"/>
            </w:tcMar>
            <w:vAlign w:val="center"/>
            <w:shd w:fill="F8FAFC"/>
          </w:tcPr>
          <w:p>
            <w:pPr>
              <w:widowControl/>
              <w:spacing w:after="0"/>
            </w:pPr>
            <w:r>
              <w:rPr>
                <w:rFonts w:ascii="Calibri" w:hAnsi="Calibri"/>
                <w:sz w:val="15"/>
              </w:rPr>
              <w:t>Promptly; tracked until verified closure</w:t>
            </w:r>
          </w:p>
        </w:tc>
        <w:tc>
          <w:tcPr>
            <w:tcW w:type="dxa" w:w="1641"/>
            <w:tcMar>
              <w:top w:w="90" w:type="dxa"/>
              <w:start w:w="120" w:type="dxa"/>
              <w:bottom w:w="90" w:type="dxa"/>
              <w:end w:w="120" w:type="dxa"/>
            </w:tcMar>
            <w:vAlign w:val="center"/>
            <w:shd w:fill="F8FAFC"/>
          </w:tcPr>
          <w:p>
            <w:pPr>
              <w:widowControl/>
              <w:spacing w:after="0"/>
            </w:pPr>
            <w:r>
              <w:rPr>
                <w:rFonts w:ascii="Calibri" w:hAnsi="Calibri"/>
                <w:sz w:val="15"/>
              </w:rPr>
              <w:t>Control / audit owner</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sz w:val="15"/>
              </w:rPr>
              <w:t>Annual resource and budget review</w:t>
            </w:r>
          </w:p>
        </w:tc>
        <w:tc>
          <w:tcPr>
            <w:tcW w:type="dxa" w:w="1944"/>
            <w:tcMar>
              <w:top w:w="90" w:type="dxa"/>
              <w:start w:w="120" w:type="dxa"/>
              <w:bottom w:w="90" w:type="dxa"/>
              <w:end w:w="120" w:type="dxa"/>
            </w:tcMar>
            <w:vAlign w:val="center"/>
          </w:tcPr>
          <w:p>
            <w:pPr>
              <w:widowControl/>
              <w:spacing w:after="0"/>
            </w:pPr>
            <w:r>
              <w:rPr>
                <w:rFonts w:ascii="Calibri" w:hAnsi="Calibri"/>
                <w:sz w:val="15"/>
              </w:rPr>
              <w:t>Management body</w:t>
            </w:r>
          </w:p>
        </w:tc>
        <w:tc>
          <w:tcPr>
            <w:tcW w:type="dxa" w:w="3196"/>
            <w:tcMar>
              <w:top w:w="90" w:type="dxa"/>
              <w:start w:w="120" w:type="dxa"/>
              <w:bottom w:w="90" w:type="dxa"/>
              <w:end w:w="120" w:type="dxa"/>
            </w:tcMar>
            <w:vAlign w:val="center"/>
          </w:tcPr>
          <w:p>
            <w:pPr>
              <w:widowControl/>
              <w:spacing w:after="0"/>
            </w:pPr>
            <w:r>
              <w:rPr>
                <w:rFonts w:ascii="Calibri" w:hAnsi="Calibri"/>
                <w:sz w:val="15"/>
              </w:rPr>
              <w:t>At least annually</w:t>
            </w:r>
          </w:p>
        </w:tc>
        <w:tc>
          <w:tcPr>
            <w:tcW w:type="dxa" w:w="1641"/>
            <w:tcMar>
              <w:top w:w="90" w:type="dxa"/>
              <w:start w:w="120" w:type="dxa"/>
              <w:bottom w:w="90" w:type="dxa"/>
              <w:end w:w="120" w:type="dxa"/>
            </w:tcMar>
            <w:vAlign w:val="center"/>
          </w:tcPr>
          <w:p>
            <w:pPr>
              <w:widowControl/>
              <w:spacing w:after="0"/>
            </w:pPr>
            <w:r>
              <w:rPr>
                <w:rFonts w:ascii="Calibri" w:hAnsi="Calibri"/>
                <w:sz w:val="15"/>
              </w:rPr>
              <w:t>Executive accountable for DORA</w:t>
            </w:r>
          </w:p>
        </w:tc>
      </w:tr>
      <w:tr>
        <w:trPr>
          <w:cantSplit/>
        </w:trPr>
        <w:tc>
          <w:tcPr>
            <w:tcW w:type="dxa" w:w="3096"/>
            <w:tcMar>
              <w:top w:w="90" w:type="dxa"/>
              <w:start w:w="120" w:type="dxa"/>
              <w:bottom w:w="90" w:type="dxa"/>
              <w:end w:w="120" w:type="dxa"/>
            </w:tcMar>
            <w:vAlign w:val="center"/>
            <w:shd w:fill="F8FAFC"/>
          </w:tcPr>
          <w:p>
            <w:pPr>
              <w:widowControl/>
              <w:spacing w:after="0"/>
            </w:pPr>
            <w:r>
              <w:rPr>
                <w:rFonts w:ascii="Calibri" w:hAnsi="Calibri"/>
                <w:sz w:val="15"/>
              </w:rPr>
              <w:t>Framework review report</w:t>
            </w:r>
          </w:p>
        </w:tc>
        <w:tc>
          <w:tcPr>
            <w:tcW w:type="dxa" w:w="1944"/>
            <w:tcMar>
              <w:top w:w="90" w:type="dxa"/>
              <w:start w:w="120" w:type="dxa"/>
              <w:bottom w:w="90" w:type="dxa"/>
              <w:end w:w="120" w:type="dxa"/>
            </w:tcMar>
            <w:vAlign w:val="center"/>
            <w:shd w:fill="F8FAFC"/>
          </w:tcPr>
          <w:p>
            <w:pPr>
              <w:widowControl/>
              <w:spacing w:after="0"/>
            </w:pPr>
            <w:r>
              <w:rPr>
                <w:rFonts w:ascii="Calibri" w:hAnsi="Calibri"/>
                <w:sz w:val="15"/>
              </w:rPr>
              <w:t>Management body; competent authority on request</w:t>
            </w:r>
          </w:p>
        </w:tc>
        <w:tc>
          <w:tcPr>
            <w:tcW w:type="dxa" w:w="3196"/>
            <w:tcMar>
              <w:top w:w="90" w:type="dxa"/>
              <w:start w:w="120" w:type="dxa"/>
              <w:bottom w:w="90" w:type="dxa"/>
              <w:end w:w="120" w:type="dxa"/>
            </w:tcMar>
            <w:vAlign w:val="center"/>
            <w:shd w:fill="F8FAFC"/>
          </w:tcPr>
          <w:p>
            <w:pPr>
              <w:widowControl/>
              <w:spacing w:after="0"/>
            </w:pPr>
            <w:r>
              <w:rPr>
                <w:rFonts w:ascii="Calibri" w:hAnsi="Calibri"/>
                <w:sz w:val="15"/>
              </w:rPr>
              <w:t>Periodic and on trigger events</w:t>
            </w:r>
          </w:p>
        </w:tc>
        <w:tc>
          <w:tcPr>
            <w:tcW w:type="dxa" w:w="1641"/>
            <w:tcMar>
              <w:top w:w="90" w:type="dxa"/>
              <w:start w:w="120" w:type="dxa"/>
              <w:bottom w:w="90" w:type="dxa"/>
              <w:end w:w="120" w:type="dxa"/>
            </w:tcMar>
            <w:vAlign w:val="center"/>
            <w:shd w:fill="F8FAFC"/>
          </w:tcPr>
          <w:p>
            <w:pPr>
              <w:widowControl/>
              <w:spacing w:after="0"/>
            </w:pPr>
            <w:r>
              <w:rPr>
                <w:rFonts w:ascii="Calibri" w:hAnsi="Calibri"/>
                <w:sz w:val="15"/>
              </w:rPr>
              <w:t>D01 owner</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sz w:val="15"/>
              </w:rPr>
              <w:t>Critical-provider deterioration / exit trigger</w:t>
            </w:r>
          </w:p>
        </w:tc>
        <w:tc>
          <w:tcPr>
            <w:tcW w:type="dxa" w:w="1944"/>
            <w:tcMar>
              <w:top w:w="90" w:type="dxa"/>
              <w:start w:w="120" w:type="dxa"/>
              <w:bottom w:w="90" w:type="dxa"/>
              <w:end w:w="120" w:type="dxa"/>
            </w:tcMar>
            <w:vAlign w:val="center"/>
          </w:tcPr>
          <w:p>
            <w:pPr>
              <w:widowControl/>
              <w:spacing w:after="0"/>
            </w:pPr>
            <w:r>
              <w:rPr>
                <w:rFonts w:ascii="Calibri" w:hAnsi="Calibri"/>
                <w:sz w:val="15"/>
              </w:rPr>
              <w:t>Management body or delegated committee</w:t>
            </w:r>
          </w:p>
        </w:tc>
        <w:tc>
          <w:tcPr>
            <w:tcW w:type="dxa" w:w="3196"/>
            <w:tcMar>
              <w:top w:w="90" w:type="dxa"/>
              <w:start w:w="120" w:type="dxa"/>
              <w:bottom w:w="90" w:type="dxa"/>
              <w:end w:w="120" w:type="dxa"/>
            </w:tcMar>
            <w:vAlign w:val="center"/>
          </w:tcPr>
          <w:p>
            <w:pPr>
              <w:widowControl/>
              <w:spacing w:after="0"/>
            </w:pPr>
            <w:r>
              <w:rPr>
                <w:rFonts w:ascii="Calibri" w:hAnsi="Calibri"/>
                <w:sz w:val="15"/>
              </w:rPr>
              <w:t>Promptly according to materiality</w:t>
            </w:r>
          </w:p>
        </w:tc>
        <w:tc>
          <w:tcPr>
            <w:tcW w:type="dxa" w:w="1641"/>
            <w:tcMar>
              <w:top w:w="90" w:type="dxa"/>
              <w:start w:w="120" w:type="dxa"/>
              <w:bottom w:w="90" w:type="dxa"/>
              <w:end w:w="120" w:type="dxa"/>
            </w:tcMar>
            <w:vAlign w:val="center"/>
          </w:tcPr>
          <w:p>
            <w:pPr>
              <w:widowControl/>
              <w:spacing w:after="0"/>
            </w:pPr>
            <w:r>
              <w:rPr>
                <w:rFonts w:ascii="Calibri" w:hAnsi="Calibri"/>
                <w:sz w:val="15"/>
              </w:rPr>
              <w:t>Third-party risk owner</w:t>
            </w:r>
          </w:p>
        </w:tc>
      </w:tr>
    </w:tbl>
    <w:p>
      <w:pPr>
        <w:widowControl/>
        <w:spacing w:after="0"/>
      </w:pPr>
    </w:p>
    <w:p>
      <w:pPr>
        <w:pStyle w:val="Heading2"/>
        <w:widowControl/>
      </w:pPr>
      <w:r>
        <w:t>9.2 Minimum dashboard content</w:t>
      </w:r>
    </w:p>
    <w:p>
      <w:pPr>
        <w:pStyle w:val="ListBullet"/>
        <w:widowControl/>
        <w:ind w:left="475"/>
      </w:pPr>
      <w:r>
        <w:t>current and near-term ICT risk and threat landscape;</w:t>
      </w:r>
    </w:p>
    <w:p>
      <w:pPr>
        <w:pStyle w:val="ListBullet"/>
        <w:widowControl/>
        <w:ind w:left="475"/>
      </w:pPr>
      <w:r>
        <w:t>risks by rating, movements, overdue treatments and accepted risks above normal tolerance;</w:t>
      </w:r>
    </w:p>
    <w:p>
      <w:pPr>
        <w:pStyle w:val="ListBullet"/>
        <w:widowControl/>
        <w:ind w:left="475"/>
      </w:pPr>
      <w:r>
        <w:t>availability, incidents, detection and recovery performance;</w:t>
      </w:r>
    </w:p>
    <w:p>
      <w:pPr>
        <w:pStyle w:val="ListBullet"/>
        <w:widowControl/>
        <w:ind w:left="475"/>
      </w:pPr>
      <w:r>
        <w:t>critical vulnerabilities, patching, access reviews and backup/restore status;</w:t>
      </w:r>
    </w:p>
    <w:p>
      <w:pPr>
        <w:pStyle w:val="ListBullet"/>
        <w:widowControl/>
        <w:ind w:left="475"/>
      </w:pPr>
      <w:r>
        <w:t>testing, audit and control findings, including overdue or unverified remediation;</w:t>
      </w:r>
    </w:p>
    <w:p>
      <w:pPr>
        <w:pStyle w:val="ListBullet"/>
        <w:widowControl/>
        <w:ind w:left="475"/>
      </w:pPr>
      <w:r>
        <w:t>critical-provider health, contractual gaps, concentration and exit readiness;</w:t>
      </w:r>
    </w:p>
    <w:p>
      <w:pPr>
        <w:pStyle w:val="ListBullet"/>
        <w:widowControl/>
        <w:ind w:left="475"/>
      </w:pPr>
      <w:r>
        <w:t>training completion, resource constraints and budget matters;</w:t>
      </w:r>
    </w:p>
    <w:p>
      <w:pPr>
        <w:pStyle w:val="ListBullet"/>
        <w:widowControl/>
        <w:ind w:left="475"/>
      </w:pPr>
      <w:r>
        <w:t>material changes, exceptions, decisions required and forward plan.</w:t>
      </w:r>
    </w:p>
    <w:p>
      <w:pPr>
        <w:pStyle w:val="Heading2"/>
        <w:widowControl/>
      </w:pPr>
      <w:r>
        <w:t>9.3 Immediate escalation criteria</w:t>
      </w:r>
    </w:p>
    <w:p>
      <w:pPr>
        <w:widowControl/>
      </w:pPr>
      <w:r>
        <w:t>Immediate escalation is required where an event or condition may involve a major ICT-related incident, loss or compromise of critical data, prolonged disruption of a critical or important function, breach of approved tolerance, suspected unlawful access or fraud, failure of a critical provider without an effective workaround, inability to meet a regulatory reporting obligation, or a critical control deficiency without adequate containment.</w:t>
      </w:r>
    </w:p>
    <w:p>
      <w:pPr>
        <w:pStyle w:val="Heading1"/>
        <w:widowControl/>
      </w:pPr>
      <w:r>
        <w:t>10. Training, resources and awareness</w:t>
      </w:r>
    </w:p>
    <w:p>
      <w:pPr>
        <w:widowControl/>
      </w:pPr>
      <w:r>
        <w:t>The management body shall allocate and review at least annually the budget and resources needed for digital operational resilience. The review shall consider staffing, provider support, tools, assurance, testing, training, remediation commitments and foreseeable change.</w:t>
      </w:r>
    </w:p>
    <w:p>
      <w:pPr>
        <w:widowControl/>
      </w:pPr>
      <w:r>
        <w:t>All staff shall receive awareness training appropriate to their exposure. The management body and relevant role holders shall receive training sufficient to understand and assess ICT risk and its business impact. Role-specific training shall be provided to persons with privileged access, incident duties, risk ownership, provider oversight or control responsibilities. D12 records curricula, attendance, completion and follow-up.</w:t>
      </w:r>
    </w:p>
    <w:tbl>
      <w:tblPr>
        <w:tblW w:type="auto" w:w="0"/>
        <w:jc w:val="center"/>
        <w:tblLayout w:type="fixed"/>
        <w:tblLook w:firstColumn="1" w:firstRow="1" w:lastColumn="0" w:lastRow="0" w:noHBand="0" w:noVBand="1" w:val="04A0"/>
      </w:tblPr>
      <w:tblGrid>
        <w:gridCol w:w="172"/>
        <w:gridCol w:w="9705"/>
      </w:tblGrid>
      <w:tr>
        <w:tc>
          <w:tcPr>
            <w:tcW w:type="dxa" w:w="172"/>
            <w:shd w:fill="0F6B78"/>
            <w:tcMar>
              <w:top w:w="0" w:type="dxa"/>
              <w:start w:w="0" w:type="dxa"/>
              <w:bottom w:w="0" w:type="dxa"/>
              <w:end w:w="0" w:type="dxa"/>
            </w:tcMar>
            <w:tcBorders>
              <w:top w:val="nil"/>
              <w:left w:val="nil"/>
              <w:bottom w:val="nil"/>
              <w:right w:val="nil"/>
            </w:tcBorders>
            <w:vAlign w:val="center"/>
          </w:tcPr>
          <w:p>
            <w:pPr>
              <w:widowControl/>
            </w:pPr>
          </w:p>
        </w:tc>
        <w:tc>
          <w:tcPr>
            <w:tcW w:type="dxa" w:w="9705"/>
            <w:shd w:fill="F3F7FA"/>
            <w:tcMar>
              <w:top w:w="120" w:type="dxa"/>
              <w:start w:w="150" w:type="dxa"/>
              <w:bottom w:w="120" w:type="dxa"/>
              <w:end w:w="150" w:type="dxa"/>
            </w:tcMar>
            <w:tcBorders>
              <w:top w:val="nil"/>
              <w:left w:val="nil"/>
              <w:bottom w:val="nil"/>
              <w:right w:val="nil"/>
            </w:tcBorders>
            <w:vAlign w:val="center"/>
          </w:tcPr>
          <w:p>
            <w:pPr>
              <w:widowControl/>
            </w:pPr>
            <w:r>
              <w:rPr>
                <w:rFonts w:ascii="Calibri" w:hAnsi="Calibri"/>
                <w:b/>
                <w:color w:val="0F6B78"/>
                <w:sz w:val="18"/>
              </w:rPr>
              <w:t>CURRENT RESOURCE CONCLUSION</w:t>
            </w:r>
            <w:r>
              <w:rPr>
                <w:rFonts w:ascii="Calibri" w:hAnsi="Calibri"/>
              </w:rPr>
              <w:br/>
              <w:t>[STATE WHETHER RESOURCES ARE ADEQUATE, IDENTIFY MATERIAL CONSTRAINTS AND RECORD THE APPROVED BUDGET / REMEDIATION DECISION.]</w:t>
            </w:r>
          </w:p>
        </w:tc>
      </w:tr>
    </w:tbl>
    <w:p>
      <w:pPr>
        <w:pStyle w:val="Heading1"/>
        <w:widowControl/>
      </w:pPr>
      <w:r>
        <w:t>11. Assurance, internal audit and remediation</w:t>
      </w:r>
    </w:p>
    <w:p>
      <w:pPr>
        <w:widowControl/>
      </w:pPr>
      <w:r>
        <w:t>The simplified ICT risk management framework shall be subject to independent internal audit in line with the audit plan. Auditors shall have sufficient ICT risk knowledge, skills and expertise. Frequency and focus shall be commensurate with the firm’s ICT risk. The assurance model may use a suitably independent external provider where proportionate and permitted.</w:t>
      </w:r>
    </w:p>
    <w:tbl>
      <w:tblPr>
        <w:tblStyle w:val="TableGrid"/>
        <w:tblW w:type="auto" w:w="0"/>
        <w:jc w:val="center"/>
        <w:tblLayout w:type="fixed"/>
        <w:tblLook w:firstColumn="1" w:firstRow="1" w:lastColumn="0" w:lastRow="0" w:noHBand="0" w:noVBand="1" w:val="04A0"/>
      </w:tblPr>
      <w:tblGrid>
        <w:gridCol w:w="2232"/>
        <w:gridCol w:w="4680"/>
        <w:gridCol w:w="2966"/>
      </w:tblGrid>
      <w:tr>
        <w:trPr>
          <w:tblHeader w:val="true"/>
        </w:trPr>
        <w:tc>
          <w:tcPr>
            <w:tcW w:type="dxa" w:w="2232"/>
            <w:shd w:fill="17365D"/>
            <w:tcMar>
              <w:top w:w="90" w:type="dxa"/>
              <w:start w:w="120" w:type="dxa"/>
              <w:bottom w:w="90" w:type="dxa"/>
              <w:end w:w="120" w:type="dxa"/>
            </w:tcMar>
            <w:vAlign w:val="center"/>
          </w:tcPr>
          <w:p>
            <w:pPr>
              <w:widowControl/>
              <w:jc w:val="left"/>
            </w:pPr>
            <w:r>
              <w:rPr>
                <w:rFonts w:ascii="Calibri" w:hAnsi="Calibri"/>
                <w:b/>
                <w:color w:val="FFFFFF"/>
                <w:sz w:val="16"/>
              </w:rPr>
              <w:t>Assurance layer</w:t>
            </w:r>
          </w:p>
        </w:tc>
        <w:tc>
          <w:tcPr>
            <w:tcW w:type="dxa" w:w="4680"/>
            <w:shd w:fill="17365D"/>
            <w:tcMar>
              <w:top w:w="90" w:type="dxa"/>
              <w:start w:w="120" w:type="dxa"/>
              <w:bottom w:w="90" w:type="dxa"/>
              <w:end w:w="120" w:type="dxa"/>
            </w:tcMar>
            <w:vAlign w:val="center"/>
          </w:tcPr>
          <w:p>
            <w:pPr>
              <w:widowControl/>
              <w:jc w:val="left"/>
            </w:pPr>
            <w:r>
              <w:rPr>
                <w:rFonts w:ascii="Calibri" w:hAnsi="Calibri"/>
                <w:b/>
                <w:color w:val="FFFFFF"/>
                <w:sz w:val="16"/>
              </w:rPr>
              <w:t>Purpose</w:t>
            </w:r>
          </w:p>
        </w:tc>
        <w:tc>
          <w:tcPr>
            <w:tcW w:type="dxa" w:w="2966"/>
            <w:shd w:fill="17365D"/>
            <w:tcMar>
              <w:top w:w="90" w:type="dxa"/>
              <w:start w:w="120" w:type="dxa"/>
              <w:bottom w:w="90" w:type="dxa"/>
              <w:end w:w="120" w:type="dxa"/>
            </w:tcMar>
            <w:vAlign w:val="center"/>
          </w:tcPr>
          <w:p>
            <w:pPr>
              <w:widowControl/>
              <w:jc w:val="left"/>
            </w:pPr>
            <w:r>
              <w:rPr>
                <w:rFonts w:ascii="Calibri" w:hAnsi="Calibri"/>
                <w:b/>
                <w:color w:val="FFFFFF"/>
                <w:sz w:val="16"/>
              </w:rPr>
              <w:t>Evidence</w:t>
            </w:r>
          </w:p>
        </w:tc>
      </w:tr>
      <w:tr>
        <w:trPr>
          <w:cantSplit/>
        </w:trPr>
        <w:tc>
          <w:tcPr>
            <w:tcW w:type="dxa" w:w="2232"/>
            <w:tcMar>
              <w:top w:w="90" w:type="dxa"/>
              <w:start w:w="120" w:type="dxa"/>
              <w:bottom w:w="90" w:type="dxa"/>
              <w:end w:w="120" w:type="dxa"/>
            </w:tcMar>
            <w:vAlign w:val="center"/>
          </w:tcPr>
          <w:p>
            <w:pPr>
              <w:widowControl/>
              <w:spacing w:after="0"/>
            </w:pPr>
            <w:r>
              <w:rPr>
                <w:rFonts w:ascii="Calibri" w:hAnsi="Calibri"/>
                <w:sz w:val="16"/>
              </w:rPr>
              <w:t>Operational self-assessment</w:t>
            </w:r>
          </w:p>
        </w:tc>
        <w:tc>
          <w:tcPr>
            <w:tcW w:type="dxa" w:w="4680"/>
            <w:tcMar>
              <w:top w:w="90" w:type="dxa"/>
              <w:start w:w="120" w:type="dxa"/>
              <w:bottom w:w="90" w:type="dxa"/>
              <w:end w:w="120" w:type="dxa"/>
            </w:tcMar>
            <w:vAlign w:val="center"/>
          </w:tcPr>
          <w:p>
            <w:pPr>
              <w:widowControl/>
              <w:spacing w:after="0"/>
            </w:pPr>
            <w:r>
              <w:rPr>
                <w:rFonts w:ascii="Calibri" w:hAnsi="Calibri"/>
                <w:sz w:val="16"/>
              </w:rPr>
              <w:t>Confirm controls are performed and evidence is current.</w:t>
            </w:r>
          </w:p>
        </w:tc>
        <w:tc>
          <w:tcPr>
            <w:tcW w:type="dxa" w:w="2966"/>
            <w:tcMar>
              <w:top w:w="90" w:type="dxa"/>
              <w:start w:w="120" w:type="dxa"/>
              <w:bottom w:w="90" w:type="dxa"/>
              <w:end w:w="120" w:type="dxa"/>
            </w:tcMar>
            <w:vAlign w:val="center"/>
          </w:tcPr>
          <w:p>
            <w:pPr>
              <w:widowControl/>
              <w:spacing w:after="0"/>
            </w:pPr>
            <w:r>
              <w:rPr>
                <w:rFonts w:ascii="Calibri" w:hAnsi="Calibri"/>
                <w:sz w:val="16"/>
              </w:rPr>
              <w:t>D14 control evidence and owner attestations</w:t>
            </w:r>
          </w:p>
        </w:tc>
      </w:tr>
      <w:tr>
        <w:trPr>
          <w:cantSplit/>
        </w:trPr>
        <w:tc>
          <w:tcPr>
            <w:tcW w:type="dxa" w:w="2232"/>
            <w:tcMar>
              <w:top w:w="90" w:type="dxa"/>
              <w:start w:w="120" w:type="dxa"/>
              <w:bottom w:w="90" w:type="dxa"/>
              <w:end w:w="120" w:type="dxa"/>
            </w:tcMar>
            <w:vAlign w:val="center"/>
            <w:shd w:fill="F8FAFC"/>
          </w:tcPr>
          <w:p>
            <w:pPr>
              <w:widowControl/>
              <w:spacing w:after="0"/>
            </w:pPr>
            <w:r>
              <w:rPr>
                <w:rFonts w:ascii="Calibri" w:hAnsi="Calibri"/>
                <w:sz w:val="16"/>
              </w:rPr>
              <w:t>Control-function monitoring</w:t>
            </w:r>
          </w:p>
        </w:tc>
        <w:tc>
          <w:tcPr>
            <w:tcW w:type="dxa" w:w="4680"/>
            <w:tcMar>
              <w:top w:w="90" w:type="dxa"/>
              <w:start w:w="120" w:type="dxa"/>
              <w:bottom w:w="90" w:type="dxa"/>
              <w:end w:w="120" w:type="dxa"/>
            </w:tcMar>
            <w:vAlign w:val="center"/>
            <w:shd w:fill="F8FAFC"/>
          </w:tcPr>
          <w:p>
            <w:pPr>
              <w:widowControl/>
              <w:spacing w:after="0"/>
            </w:pPr>
            <w:r>
              <w:rPr>
                <w:rFonts w:ascii="Calibri" w:hAnsi="Calibri"/>
                <w:sz w:val="16"/>
              </w:rPr>
              <w:t>Independent challenge of compliance, risk and remediation.</w:t>
            </w:r>
          </w:p>
        </w:tc>
        <w:tc>
          <w:tcPr>
            <w:tcW w:type="dxa" w:w="2966"/>
            <w:tcMar>
              <w:top w:w="90" w:type="dxa"/>
              <w:start w:w="120" w:type="dxa"/>
              <w:bottom w:w="90" w:type="dxa"/>
              <w:end w:w="120" w:type="dxa"/>
            </w:tcMar>
            <w:vAlign w:val="center"/>
            <w:shd w:fill="F8FAFC"/>
          </w:tcPr>
          <w:p>
            <w:pPr>
              <w:widowControl/>
              <w:spacing w:after="0"/>
            </w:pPr>
            <w:r>
              <w:rPr>
                <w:rFonts w:ascii="Calibri" w:hAnsi="Calibri"/>
                <w:sz w:val="16"/>
              </w:rPr>
              <w:t>Monitoring reports and issue log</w:t>
            </w:r>
          </w:p>
        </w:tc>
      </w:tr>
      <w:tr>
        <w:trPr>
          <w:cantSplit/>
        </w:trPr>
        <w:tc>
          <w:tcPr>
            <w:tcW w:type="dxa" w:w="2232"/>
            <w:tcMar>
              <w:top w:w="90" w:type="dxa"/>
              <w:start w:w="120" w:type="dxa"/>
              <w:bottom w:w="90" w:type="dxa"/>
              <w:end w:w="120" w:type="dxa"/>
            </w:tcMar>
            <w:vAlign w:val="center"/>
          </w:tcPr>
          <w:p>
            <w:pPr>
              <w:widowControl/>
              <w:spacing w:after="0"/>
            </w:pPr>
            <w:r>
              <w:rPr>
                <w:rFonts w:ascii="Calibri" w:hAnsi="Calibri"/>
                <w:sz w:val="16"/>
              </w:rPr>
              <w:t>Testing</w:t>
            </w:r>
          </w:p>
        </w:tc>
        <w:tc>
          <w:tcPr>
            <w:tcW w:type="dxa" w:w="4680"/>
            <w:tcMar>
              <w:top w:w="90" w:type="dxa"/>
              <w:start w:w="120" w:type="dxa"/>
              <w:bottom w:w="90" w:type="dxa"/>
              <w:end w:w="120" w:type="dxa"/>
            </w:tcMar>
            <w:vAlign w:val="center"/>
          </w:tcPr>
          <w:p>
            <w:pPr>
              <w:widowControl/>
              <w:spacing w:after="0"/>
            </w:pPr>
            <w:r>
              <w:rPr>
                <w:rFonts w:ascii="Calibri" w:hAnsi="Calibri"/>
                <w:sz w:val="16"/>
              </w:rPr>
              <w:t>Validate security, continuity and recovery effectiveness.</w:t>
            </w:r>
          </w:p>
        </w:tc>
        <w:tc>
          <w:tcPr>
            <w:tcW w:type="dxa" w:w="2966"/>
            <w:tcMar>
              <w:top w:w="90" w:type="dxa"/>
              <w:start w:w="120" w:type="dxa"/>
              <w:bottom w:w="90" w:type="dxa"/>
              <w:end w:w="120" w:type="dxa"/>
            </w:tcMar>
            <w:vAlign w:val="center"/>
          </w:tcPr>
          <w:p>
            <w:pPr>
              <w:widowControl/>
              <w:spacing w:after="0"/>
            </w:pPr>
            <w:r>
              <w:rPr>
                <w:rFonts w:ascii="Calibri" w:hAnsi="Calibri"/>
                <w:sz w:val="16"/>
              </w:rPr>
              <w:t>D08 plans, reports and retests</w:t>
            </w:r>
          </w:p>
        </w:tc>
      </w:tr>
      <w:tr>
        <w:trPr>
          <w:cantSplit/>
        </w:trPr>
        <w:tc>
          <w:tcPr>
            <w:tcW w:type="dxa" w:w="2232"/>
            <w:tcMar>
              <w:top w:w="90" w:type="dxa"/>
              <w:start w:w="120" w:type="dxa"/>
              <w:bottom w:w="90" w:type="dxa"/>
              <w:end w:w="120" w:type="dxa"/>
            </w:tcMar>
            <w:vAlign w:val="center"/>
            <w:shd w:fill="F8FAFC"/>
          </w:tcPr>
          <w:p>
            <w:pPr>
              <w:widowControl/>
              <w:spacing w:after="0"/>
            </w:pPr>
            <w:r>
              <w:rPr>
                <w:rFonts w:ascii="Calibri" w:hAnsi="Calibri"/>
                <w:sz w:val="16"/>
              </w:rPr>
              <w:t>Internal audit</w:t>
            </w:r>
          </w:p>
        </w:tc>
        <w:tc>
          <w:tcPr>
            <w:tcW w:type="dxa" w:w="4680"/>
            <w:tcMar>
              <w:top w:w="90" w:type="dxa"/>
              <w:start w:w="120" w:type="dxa"/>
              <w:bottom w:w="90" w:type="dxa"/>
              <w:end w:w="120" w:type="dxa"/>
            </w:tcMar>
            <w:vAlign w:val="center"/>
            <w:shd w:fill="F8FAFC"/>
          </w:tcPr>
          <w:p>
            <w:pPr>
              <w:widowControl/>
              <w:spacing w:after="0"/>
            </w:pPr>
            <w:r>
              <w:rPr>
                <w:rFonts w:ascii="Calibri" w:hAnsi="Calibri"/>
                <w:sz w:val="16"/>
              </w:rPr>
              <w:t>Independent, risk-based assurance over framework design and effectiveness.</w:t>
            </w:r>
          </w:p>
        </w:tc>
        <w:tc>
          <w:tcPr>
            <w:tcW w:type="dxa" w:w="2966"/>
            <w:tcMar>
              <w:top w:w="90" w:type="dxa"/>
              <w:start w:w="120" w:type="dxa"/>
              <w:bottom w:w="90" w:type="dxa"/>
              <w:end w:w="120" w:type="dxa"/>
            </w:tcMar>
            <w:vAlign w:val="center"/>
            <w:shd w:fill="F8FAFC"/>
          </w:tcPr>
          <w:p>
            <w:pPr>
              <w:widowControl/>
              <w:spacing w:after="0"/>
            </w:pPr>
            <w:r>
              <w:rPr>
                <w:rFonts w:ascii="Calibri" w:hAnsi="Calibri"/>
                <w:sz w:val="16"/>
              </w:rPr>
              <w:t>D13 audit plan and reports</w:t>
            </w:r>
          </w:p>
        </w:tc>
      </w:tr>
      <w:tr>
        <w:trPr>
          <w:cantSplit/>
        </w:trPr>
        <w:tc>
          <w:tcPr>
            <w:tcW w:type="dxa" w:w="2232"/>
            <w:tcMar>
              <w:top w:w="90" w:type="dxa"/>
              <w:start w:w="120" w:type="dxa"/>
              <w:bottom w:w="90" w:type="dxa"/>
              <w:end w:w="120" w:type="dxa"/>
            </w:tcMar>
            <w:vAlign w:val="center"/>
          </w:tcPr>
          <w:p>
            <w:pPr>
              <w:widowControl/>
              <w:spacing w:after="0"/>
            </w:pPr>
            <w:r>
              <w:rPr>
                <w:rFonts w:ascii="Calibri" w:hAnsi="Calibri"/>
                <w:sz w:val="16"/>
              </w:rPr>
              <w:t>Framework review</w:t>
            </w:r>
          </w:p>
        </w:tc>
        <w:tc>
          <w:tcPr>
            <w:tcW w:type="dxa" w:w="4680"/>
            <w:tcMar>
              <w:top w:w="90" w:type="dxa"/>
              <w:start w:w="120" w:type="dxa"/>
              <w:bottom w:w="90" w:type="dxa"/>
              <w:end w:w="120" w:type="dxa"/>
            </w:tcMar>
            <w:vAlign w:val="center"/>
          </w:tcPr>
          <w:p>
            <w:pPr>
              <w:widowControl/>
              <w:spacing w:after="0"/>
            </w:pPr>
            <w:r>
              <w:rPr>
                <w:rFonts w:ascii="Calibri" w:hAnsi="Calibri"/>
                <w:sz w:val="16"/>
              </w:rPr>
              <w:t>Periodic and trigger-based review; Article 41 report available on request.</w:t>
            </w:r>
          </w:p>
        </w:tc>
        <w:tc>
          <w:tcPr>
            <w:tcW w:type="dxa" w:w="2966"/>
            <w:tcMar>
              <w:top w:w="90" w:type="dxa"/>
              <w:start w:w="120" w:type="dxa"/>
              <w:bottom w:w="90" w:type="dxa"/>
              <w:end w:w="120" w:type="dxa"/>
            </w:tcMar>
            <w:vAlign w:val="center"/>
          </w:tcPr>
          <w:p>
            <w:pPr>
              <w:widowControl/>
              <w:spacing w:after="0"/>
            </w:pPr>
            <w:r>
              <w:rPr>
                <w:rFonts w:ascii="Calibri" w:hAnsi="Calibri"/>
                <w:sz w:val="16"/>
              </w:rPr>
              <w:t>D13 review report</w:t>
            </w:r>
          </w:p>
        </w:tc>
      </w:tr>
    </w:tbl>
    <w:p>
      <w:pPr>
        <w:widowControl/>
        <w:spacing w:after="0"/>
      </w:pPr>
    </w:p>
    <w:p>
      <w:pPr>
        <w:widowControl/>
      </w:pPr>
      <w:r>
        <w:t>Critical audit findings shall be verified and remediated in a timely manner. No finding may be closed solely on management assertion where independent or technical verification is reasonably required. Overdue critical findings shall be reported to the management body with interim containment and a revised decision.</w:t>
      </w:r>
    </w:p>
    <w:p>
      <w:pPr>
        <w:pStyle w:val="Heading1"/>
        <w:widowControl/>
      </w:pPr>
      <w:r>
        <w:t>12. Exceptions and risk acceptance</w:t>
      </w:r>
    </w:p>
    <w:p>
      <w:pPr>
        <w:widowControl/>
      </w:pPr>
      <w:r>
        <w:t>An exception is a temporary, explicit departure from an approved requirement. It shall not be used to bypass law or permanently substitute for remediation. Each exception shall record the requirement, reason, assets/functions affected, risk assessment, compensating controls, owner, approval, start date, expiry, review date and closure evidence.</w:t>
      </w:r>
    </w:p>
    <w:p>
      <w:pPr>
        <w:widowControl/>
      </w:pPr>
      <w:r>
        <w:t>Exceptions affecting critical or important functions, privileged access, incident reporting, backup/restoration, high or critical residual risk, or a regulatory obligation require control-function review and management-body approval unless immediate action is necessary to protect the firm. Emergency exceptions shall be documented and retrospectively approved within [NUMBER] business days.</w:t>
      </w:r>
    </w:p>
    <w:p>
      <w:pPr>
        <w:pStyle w:val="Heading1"/>
        <w:widowControl/>
      </w:pPr>
      <w:r>
        <w:t>13. Review and continuous improvement</w:t>
      </w:r>
    </w:p>
    <w:p>
      <w:pPr>
        <w:pStyle w:val="Heading2"/>
        <w:widowControl/>
      </w:pPr>
      <w:r>
        <w:t>13.1 Review cycle</w:t>
      </w:r>
    </w:p>
    <w:p>
      <w:pPr>
        <w:widowControl/>
      </w:pPr>
      <w:r>
        <w:t>This Framework shall be reviewed periodically and upon the occurrence of a major ICT-related incident in compliance with supervisory instructions. The firm adopts a scheduled review frequency of [ANNUAL / OTHER PERIODIC FREQUENCY]. The review shall also be initiated where appropriate following material testing or audit conclusions, major organisational or ICT change, material threat developments, classification change or legal/regulatory change.</w:t>
      </w:r>
    </w:p>
    <w:p>
      <w:pPr>
        <w:pStyle w:val="Heading2"/>
        <w:widowControl/>
      </w:pPr>
      <w:r>
        <w:t>13.2 Review scope and report</w:t>
      </w:r>
    </w:p>
    <w:p>
      <w:pPr>
        <w:widowControl/>
      </w:pPr>
      <w:r>
        <w:t>The review shall assess the continuing appropriateness and effectiveness of governance, risk tolerance, risk assessment, security measures, continuity, testing, third-party oversight, resources, training, reporting, assurance and remediation. It shall identify changes and improvements and evaluate their effect on digital operational resilience. D13 shall contain the review evidence and a searchable report aligned with Article 41 of Delegated Regulation 2024/1774, available to the competent authority upon request.</w:t>
      </w:r>
    </w:p>
    <w:p>
      <w:pPr>
        <w:pStyle w:val="Heading2"/>
        <w:widowControl/>
      </w:pPr>
      <w:r>
        <w:t>13.3 Lessons learned</w:t>
      </w:r>
    </w:p>
    <w:p>
      <w:pPr>
        <w:widowControl/>
      </w:pPr>
      <w:r>
        <w:t>Operational conclusions from testing, incidents, near misses, audit, control monitoring and provider events shall be incorporated into the risk assessment and, where necessary, D01–D14, controls, training and resource decisions. The responsible owner shall record implementation or formally explain and obtain approval for non-implementation.</w:t>
      </w:r>
    </w:p>
    <w:p>
      <w:pPr>
        <w:pStyle w:val="Heading1"/>
        <w:widowControl/>
      </w:pPr>
      <w:r>
        <w:t>14. Records, accessibility and retention</w:t>
      </w:r>
    </w:p>
    <w:p>
      <w:pPr>
        <w:widowControl/>
      </w:pPr>
      <w:r>
        <w:t>The firm shall maintain complete, current and searchable records sufficient to evidence this Framework’s design and operation. Controlled versions shall be accessible to relevant staff and protected from unauthorised alteration. Superseded versions, approvals, risk decisions, reports and evidence shall be retained for [RETENTION PERIOD] or longer where required by applicable law, litigation hold, supervisory instruction or the firm’s records-retention policy.</w:t>
      </w:r>
    </w:p>
    <w:p>
      <w:pPr>
        <w:widowControl/>
      </w:pPr>
      <w:r>
        <w:t>The document owner shall be able to provide complete and updated information on ICT risk and this Framework to the competent authority upon request, including the Article 41 review report.</w:t>
      </w:r>
    </w:p>
    <w:p>
      <w:pPr>
        <w:widowControl/>
      </w:pPr>
      <w:r>
        <w:br w:type="page"/>
      </w:r>
    </w:p>
    <w:p>
      <w:pPr>
        <w:pStyle w:val="Heading1"/>
        <w:widowControl/>
      </w:pPr>
      <w:r>
        <w:t>Appendix A — Governance RACI</w:t>
      </w:r>
    </w:p>
    <w:tbl>
      <w:tblPr>
        <w:tblW w:type="auto" w:w="0"/>
        <w:jc w:val="center"/>
        <w:tblLayout w:type="fixed"/>
        <w:tblLook w:firstColumn="1" w:firstRow="1" w:lastColumn="0" w:lastRow="0" w:noHBand="0" w:noVBand="1" w:val="04A0"/>
      </w:tblPr>
      <w:tblGrid>
        <w:gridCol w:w="9878"/>
      </w:tblGrid>
      <w:tr>
        <w:tc>
          <w:tcPr>
            <w:tcW w:type="dxa" w:w="9878"/>
            <w:shd w:fill="F2F4F7"/>
            <w:tcBorders>
              <w:top w:val="single" w:sz="6" w:color="D0D5DD"/>
              <w:left w:val="single" w:sz="6" w:color="D0D5DD"/>
              <w:bottom w:val="single" w:sz="6" w:color="D0D5DD"/>
              <w:right w:val="single" w:sz="6" w:color="D0D5DD"/>
            </w:tcBorders>
            <w:vAlign w:val="center"/>
          </w:tcPr>
          <w:p>
            <w:pPr>
              <w:pStyle w:val="DraftingNote"/>
              <w:widowControl/>
            </w:pPr>
            <w:r>
              <w:rPr>
                <w:rFonts w:ascii="Calibri" w:hAnsi="Calibri"/>
                <w:b/>
                <w:color w:val="1F4D78"/>
              </w:rPr>
              <w:t xml:space="preserve">DRAFTING NOTE  </w:t>
            </w:r>
            <w:r>
              <w:rPr>
                <w:rFonts w:ascii="Calibri" w:hAnsi="Calibri"/>
              </w:rPr>
              <w:t>Replace role names with the firm’s actual model. R = responsible; A = accountable; C = consulted; I = informed. Avoid assigning both operational performance and independent approval to the same individual without documented compensating controls.</w:t>
            </w:r>
          </w:p>
        </w:tc>
      </w:tr>
    </w:tbl>
    <w:tbl>
      <w:tblPr>
        <w:tblStyle w:val="TableGrid"/>
        <w:tblW w:type="auto" w:w="0"/>
        <w:jc w:val="center"/>
        <w:tblLayout w:type="fixed"/>
        <w:tblLook w:firstColumn="1" w:firstRow="1" w:lastColumn="0" w:lastRow="0" w:noHBand="0" w:noVBand="1" w:val="04A0"/>
      </w:tblPr>
      <w:tblGrid>
        <w:gridCol w:w="2736"/>
        <w:gridCol w:w="936"/>
        <w:gridCol w:w="1152"/>
        <w:gridCol w:w="1238"/>
        <w:gridCol w:w="1238"/>
        <w:gridCol w:w="1382"/>
        <w:gridCol w:w="1195"/>
      </w:tblGrid>
      <w:tr>
        <w:trPr>
          <w:tblHeader w:val="true"/>
        </w:trPr>
        <w:tc>
          <w:tcPr>
            <w:tcW w:type="dxa" w:w="2736"/>
            <w:shd w:fill="17365D"/>
            <w:tcMar>
              <w:top w:w="90" w:type="dxa"/>
              <w:start w:w="120" w:type="dxa"/>
              <w:bottom w:w="90" w:type="dxa"/>
              <w:end w:w="120" w:type="dxa"/>
            </w:tcMar>
            <w:vAlign w:val="center"/>
          </w:tcPr>
          <w:p>
            <w:pPr>
              <w:widowControl/>
              <w:jc w:val="left"/>
            </w:pPr>
            <w:r>
              <w:rPr>
                <w:rFonts w:ascii="Calibri" w:hAnsi="Calibri"/>
                <w:b/>
                <w:color w:val="FFFFFF"/>
                <w:sz w:val="14"/>
              </w:rPr>
              <w:t>Activity</w:t>
            </w:r>
          </w:p>
        </w:tc>
        <w:tc>
          <w:tcPr>
            <w:tcW w:type="dxa" w:w="936"/>
            <w:shd w:fill="17365D"/>
            <w:tcMar>
              <w:top w:w="90" w:type="dxa"/>
              <w:start w:w="120" w:type="dxa"/>
              <w:bottom w:w="90" w:type="dxa"/>
              <w:end w:w="120" w:type="dxa"/>
            </w:tcMar>
            <w:vAlign w:val="center"/>
          </w:tcPr>
          <w:p>
            <w:pPr>
              <w:widowControl/>
              <w:jc w:val="left"/>
            </w:pPr>
            <w:r>
              <w:rPr>
                <w:rFonts w:ascii="Calibri" w:hAnsi="Calibri"/>
                <w:b/>
                <w:color w:val="FFFFFF"/>
                <w:sz w:val="14"/>
              </w:rPr>
              <w:t>Board</w:t>
            </w:r>
          </w:p>
        </w:tc>
        <w:tc>
          <w:tcPr>
            <w:tcW w:type="dxa" w:w="1152"/>
            <w:shd w:fill="17365D"/>
            <w:tcMar>
              <w:top w:w="90" w:type="dxa"/>
              <w:start w:w="120" w:type="dxa"/>
              <w:bottom w:w="90" w:type="dxa"/>
              <w:end w:w="120" w:type="dxa"/>
            </w:tcMar>
            <w:vAlign w:val="center"/>
          </w:tcPr>
          <w:p>
            <w:pPr>
              <w:widowControl/>
              <w:jc w:val="left"/>
            </w:pPr>
            <w:r>
              <w:rPr>
                <w:rFonts w:ascii="Calibri" w:hAnsi="Calibri"/>
                <w:b/>
                <w:color w:val="FFFFFF"/>
                <w:sz w:val="14"/>
              </w:rPr>
              <w:t>Exec DORA</w:t>
            </w:r>
          </w:p>
        </w:tc>
        <w:tc>
          <w:tcPr>
            <w:tcW w:type="dxa" w:w="1238"/>
            <w:shd w:fill="17365D"/>
            <w:tcMar>
              <w:top w:w="90" w:type="dxa"/>
              <w:start w:w="120" w:type="dxa"/>
              <w:bottom w:w="90" w:type="dxa"/>
              <w:end w:w="120" w:type="dxa"/>
            </w:tcMar>
            <w:vAlign w:val="center"/>
          </w:tcPr>
          <w:p>
            <w:pPr>
              <w:widowControl/>
              <w:jc w:val="left"/>
            </w:pPr>
            <w:r>
              <w:rPr>
                <w:rFonts w:ascii="Calibri" w:hAnsi="Calibri"/>
                <w:b/>
                <w:color w:val="FFFFFF"/>
                <w:sz w:val="14"/>
              </w:rPr>
              <w:t>ICT / security</w:t>
            </w:r>
          </w:p>
        </w:tc>
        <w:tc>
          <w:tcPr>
            <w:tcW w:type="dxa" w:w="1238"/>
            <w:shd w:fill="17365D"/>
            <w:tcMar>
              <w:top w:w="90" w:type="dxa"/>
              <w:start w:w="120" w:type="dxa"/>
              <w:bottom w:w="90" w:type="dxa"/>
              <w:end w:w="120" w:type="dxa"/>
            </w:tcMar>
            <w:vAlign w:val="center"/>
          </w:tcPr>
          <w:p>
            <w:pPr>
              <w:widowControl/>
              <w:jc w:val="left"/>
            </w:pPr>
            <w:r>
              <w:rPr>
                <w:rFonts w:ascii="Calibri" w:hAnsi="Calibri"/>
                <w:b/>
                <w:color w:val="FFFFFF"/>
                <w:sz w:val="14"/>
              </w:rPr>
              <w:t>Business owner</w:t>
            </w:r>
          </w:p>
        </w:tc>
        <w:tc>
          <w:tcPr>
            <w:tcW w:type="dxa" w:w="1382"/>
            <w:shd w:fill="17365D"/>
            <w:tcMar>
              <w:top w:w="90" w:type="dxa"/>
              <w:start w:w="120" w:type="dxa"/>
              <w:bottom w:w="90" w:type="dxa"/>
              <w:end w:w="120" w:type="dxa"/>
            </w:tcMar>
            <w:vAlign w:val="center"/>
          </w:tcPr>
          <w:p>
            <w:pPr>
              <w:widowControl/>
              <w:jc w:val="left"/>
            </w:pPr>
            <w:r>
              <w:rPr>
                <w:rFonts w:ascii="Calibri" w:hAnsi="Calibri"/>
                <w:b/>
                <w:color w:val="FFFFFF"/>
                <w:sz w:val="14"/>
              </w:rPr>
              <w:t>Compliance / risk</w:t>
            </w:r>
          </w:p>
        </w:tc>
        <w:tc>
          <w:tcPr>
            <w:tcW w:type="dxa" w:w="1195"/>
            <w:shd w:fill="17365D"/>
            <w:tcMar>
              <w:top w:w="90" w:type="dxa"/>
              <w:start w:w="120" w:type="dxa"/>
              <w:bottom w:w="90" w:type="dxa"/>
              <w:end w:w="120" w:type="dxa"/>
            </w:tcMar>
            <w:vAlign w:val="center"/>
          </w:tcPr>
          <w:p>
            <w:pPr>
              <w:widowControl/>
              <w:jc w:val="left"/>
            </w:pPr>
            <w:r>
              <w:rPr>
                <w:rFonts w:ascii="Calibri" w:hAnsi="Calibri"/>
                <w:b/>
                <w:color w:val="FFFFFF"/>
                <w:sz w:val="14"/>
              </w:rPr>
              <w:t>Internal audit</w:t>
            </w:r>
          </w:p>
        </w:tc>
      </w:tr>
      <w:tr>
        <w:trPr>
          <w:cantSplit/>
        </w:trPr>
        <w:tc>
          <w:tcPr>
            <w:tcW w:type="dxa" w:w="2736"/>
            <w:tcMar>
              <w:top w:w="90" w:type="dxa"/>
              <w:start w:w="120" w:type="dxa"/>
              <w:bottom w:w="90" w:type="dxa"/>
              <w:end w:w="120" w:type="dxa"/>
            </w:tcMar>
            <w:vAlign w:val="center"/>
          </w:tcPr>
          <w:p>
            <w:pPr>
              <w:widowControl/>
              <w:spacing w:after="0"/>
            </w:pPr>
            <w:r>
              <w:rPr>
                <w:rFonts w:ascii="Calibri" w:hAnsi="Calibri"/>
                <w:sz w:val="14"/>
              </w:rPr>
              <w:t>Approve D01 and risk tolerance</w:t>
            </w:r>
          </w:p>
        </w:tc>
        <w:tc>
          <w:tcPr>
            <w:tcW w:type="dxa" w:w="936"/>
            <w:tcMar>
              <w:top w:w="90" w:type="dxa"/>
              <w:start w:w="120" w:type="dxa"/>
              <w:bottom w:w="90" w:type="dxa"/>
              <w:end w:w="120" w:type="dxa"/>
            </w:tcMar>
            <w:vAlign w:val="center"/>
          </w:tcPr>
          <w:p>
            <w:pPr>
              <w:widowControl/>
              <w:spacing w:after="0"/>
            </w:pPr>
            <w:r>
              <w:rPr>
                <w:rFonts w:ascii="Calibri" w:hAnsi="Calibri"/>
                <w:sz w:val="14"/>
              </w:rPr>
              <w:t>A</w:t>
            </w:r>
          </w:p>
        </w:tc>
        <w:tc>
          <w:tcPr>
            <w:tcW w:type="dxa" w:w="1152"/>
            <w:tcMar>
              <w:top w:w="90" w:type="dxa"/>
              <w:start w:w="120" w:type="dxa"/>
              <w:bottom w:w="90" w:type="dxa"/>
              <w:end w:w="120" w:type="dxa"/>
            </w:tcMar>
            <w:vAlign w:val="center"/>
          </w:tcPr>
          <w:p>
            <w:pPr>
              <w:widowControl/>
              <w:spacing w:after="0"/>
            </w:pPr>
            <w:r>
              <w:rPr>
                <w:rFonts w:ascii="Calibri" w:hAnsi="Calibri"/>
                <w:sz w:val="14"/>
              </w:rPr>
              <w:t>R</w:t>
            </w:r>
          </w:p>
        </w:tc>
        <w:tc>
          <w:tcPr>
            <w:tcW w:type="dxa" w:w="1238"/>
            <w:tcMar>
              <w:top w:w="90" w:type="dxa"/>
              <w:start w:w="120" w:type="dxa"/>
              <w:bottom w:w="90" w:type="dxa"/>
              <w:end w:w="120" w:type="dxa"/>
            </w:tcMar>
            <w:vAlign w:val="center"/>
          </w:tcPr>
          <w:p>
            <w:pPr>
              <w:widowControl/>
              <w:spacing w:after="0"/>
            </w:pPr>
            <w:r>
              <w:rPr>
                <w:rFonts w:ascii="Calibri" w:hAnsi="Calibri"/>
                <w:sz w:val="14"/>
              </w:rPr>
              <w:t>C</w:t>
            </w:r>
          </w:p>
        </w:tc>
        <w:tc>
          <w:tcPr>
            <w:tcW w:type="dxa" w:w="1238"/>
            <w:tcMar>
              <w:top w:w="90" w:type="dxa"/>
              <w:start w:w="120" w:type="dxa"/>
              <w:bottom w:w="90" w:type="dxa"/>
              <w:end w:w="120" w:type="dxa"/>
            </w:tcMar>
            <w:vAlign w:val="center"/>
          </w:tcPr>
          <w:p>
            <w:pPr>
              <w:widowControl/>
              <w:spacing w:after="0"/>
            </w:pPr>
            <w:r>
              <w:rPr>
                <w:rFonts w:ascii="Calibri" w:hAnsi="Calibri"/>
                <w:sz w:val="14"/>
              </w:rPr>
              <w:t>C</w:t>
            </w:r>
          </w:p>
        </w:tc>
        <w:tc>
          <w:tcPr>
            <w:tcW w:type="dxa" w:w="1382"/>
            <w:tcMar>
              <w:top w:w="90" w:type="dxa"/>
              <w:start w:w="120" w:type="dxa"/>
              <w:bottom w:w="90" w:type="dxa"/>
              <w:end w:w="120" w:type="dxa"/>
            </w:tcMar>
            <w:vAlign w:val="center"/>
          </w:tcPr>
          <w:p>
            <w:pPr>
              <w:widowControl/>
              <w:spacing w:after="0"/>
            </w:pPr>
            <w:r>
              <w:rPr>
                <w:rFonts w:ascii="Calibri" w:hAnsi="Calibri"/>
                <w:sz w:val="14"/>
              </w:rPr>
              <w:t>C</w:t>
            </w:r>
          </w:p>
        </w:tc>
        <w:tc>
          <w:tcPr>
            <w:tcW w:type="dxa" w:w="1195"/>
            <w:tcMar>
              <w:top w:w="90" w:type="dxa"/>
              <w:start w:w="120" w:type="dxa"/>
              <w:bottom w:w="90" w:type="dxa"/>
              <w:end w:w="120" w:type="dxa"/>
            </w:tcMar>
            <w:vAlign w:val="center"/>
          </w:tcPr>
          <w:p>
            <w:pPr>
              <w:widowControl/>
              <w:spacing w:after="0"/>
            </w:pPr>
            <w:r>
              <w:rPr>
                <w:rFonts w:ascii="Calibri" w:hAnsi="Calibri"/>
                <w:sz w:val="14"/>
              </w:rPr>
              <w:t>I</w:t>
            </w:r>
          </w:p>
        </w:tc>
      </w:tr>
      <w:tr>
        <w:trPr>
          <w:cantSplit/>
        </w:trPr>
        <w:tc>
          <w:tcPr>
            <w:tcW w:type="dxa" w:w="2736"/>
            <w:tcMar>
              <w:top w:w="90" w:type="dxa"/>
              <w:start w:w="120" w:type="dxa"/>
              <w:bottom w:w="90" w:type="dxa"/>
              <w:end w:w="120" w:type="dxa"/>
            </w:tcMar>
            <w:vAlign w:val="center"/>
            <w:shd w:fill="F8FAFC"/>
          </w:tcPr>
          <w:p>
            <w:pPr>
              <w:widowControl/>
              <w:spacing w:after="0"/>
            </w:pPr>
            <w:r>
              <w:rPr>
                <w:rFonts w:ascii="Calibri" w:hAnsi="Calibri"/>
                <w:sz w:val="14"/>
              </w:rPr>
              <w:t>Maintain D01 and reporting</w:t>
            </w:r>
          </w:p>
        </w:tc>
        <w:tc>
          <w:tcPr>
            <w:tcW w:type="dxa" w:w="936"/>
            <w:tcMar>
              <w:top w:w="90" w:type="dxa"/>
              <w:start w:w="120" w:type="dxa"/>
              <w:bottom w:w="90" w:type="dxa"/>
              <w:end w:w="120" w:type="dxa"/>
            </w:tcMar>
            <w:vAlign w:val="center"/>
            <w:shd w:fill="F8FAFC"/>
          </w:tcPr>
          <w:p>
            <w:pPr>
              <w:widowControl/>
              <w:spacing w:after="0"/>
            </w:pPr>
            <w:r>
              <w:rPr>
                <w:rFonts w:ascii="Calibri" w:hAnsi="Calibri"/>
                <w:sz w:val="14"/>
              </w:rPr>
              <w:t>I</w:t>
            </w:r>
          </w:p>
        </w:tc>
        <w:tc>
          <w:tcPr>
            <w:tcW w:type="dxa" w:w="1152"/>
            <w:tcMar>
              <w:top w:w="90" w:type="dxa"/>
              <w:start w:w="120" w:type="dxa"/>
              <w:bottom w:w="90" w:type="dxa"/>
              <w:end w:w="120" w:type="dxa"/>
            </w:tcMar>
            <w:vAlign w:val="center"/>
            <w:shd w:fill="F8FAFC"/>
          </w:tcPr>
          <w:p>
            <w:pPr>
              <w:widowControl/>
              <w:spacing w:after="0"/>
            </w:pPr>
            <w:r>
              <w:rPr>
                <w:rFonts w:ascii="Calibri" w:hAnsi="Calibri"/>
                <w:sz w:val="14"/>
              </w:rPr>
              <w:t>A</w:t>
            </w:r>
          </w:p>
        </w:tc>
        <w:tc>
          <w:tcPr>
            <w:tcW w:type="dxa" w:w="1238"/>
            <w:tcMar>
              <w:top w:w="90" w:type="dxa"/>
              <w:start w:w="120" w:type="dxa"/>
              <w:bottom w:w="90" w:type="dxa"/>
              <w:end w:w="120" w:type="dxa"/>
            </w:tcMar>
            <w:vAlign w:val="center"/>
            <w:shd w:fill="F8FAFC"/>
          </w:tcPr>
          <w:p>
            <w:pPr>
              <w:widowControl/>
              <w:spacing w:after="0"/>
            </w:pPr>
            <w:r>
              <w:rPr>
                <w:rFonts w:ascii="Calibri" w:hAnsi="Calibri"/>
                <w:sz w:val="14"/>
              </w:rPr>
              <w:t>R</w:t>
            </w:r>
          </w:p>
        </w:tc>
        <w:tc>
          <w:tcPr>
            <w:tcW w:type="dxa" w:w="1238"/>
            <w:tcMar>
              <w:top w:w="90" w:type="dxa"/>
              <w:start w:w="120" w:type="dxa"/>
              <w:bottom w:w="90" w:type="dxa"/>
              <w:end w:w="120" w:type="dxa"/>
            </w:tcMar>
            <w:vAlign w:val="center"/>
            <w:shd w:fill="F8FAFC"/>
          </w:tcPr>
          <w:p>
            <w:pPr>
              <w:widowControl/>
              <w:spacing w:after="0"/>
            </w:pPr>
            <w:r>
              <w:rPr>
                <w:rFonts w:ascii="Calibri" w:hAnsi="Calibri"/>
                <w:sz w:val="14"/>
              </w:rPr>
              <w:t>C</w:t>
            </w:r>
          </w:p>
        </w:tc>
        <w:tc>
          <w:tcPr>
            <w:tcW w:type="dxa" w:w="1382"/>
            <w:tcMar>
              <w:top w:w="90" w:type="dxa"/>
              <w:start w:w="120" w:type="dxa"/>
              <w:bottom w:w="90" w:type="dxa"/>
              <w:end w:w="120" w:type="dxa"/>
            </w:tcMar>
            <w:vAlign w:val="center"/>
            <w:shd w:fill="F8FAFC"/>
          </w:tcPr>
          <w:p>
            <w:pPr>
              <w:widowControl/>
              <w:spacing w:after="0"/>
            </w:pPr>
            <w:r>
              <w:rPr>
                <w:rFonts w:ascii="Calibri" w:hAnsi="Calibri"/>
                <w:sz w:val="14"/>
              </w:rPr>
              <w:t>C</w:t>
            </w:r>
          </w:p>
        </w:tc>
        <w:tc>
          <w:tcPr>
            <w:tcW w:type="dxa" w:w="1195"/>
            <w:tcMar>
              <w:top w:w="90" w:type="dxa"/>
              <w:start w:w="120" w:type="dxa"/>
              <w:bottom w:w="90" w:type="dxa"/>
              <w:end w:w="120" w:type="dxa"/>
            </w:tcMar>
            <w:vAlign w:val="center"/>
            <w:shd w:fill="F8FAFC"/>
          </w:tcPr>
          <w:p>
            <w:pPr>
              <w:widowControl/>
              <w:spacing w:after="0"/>
            </w:pPr>
            <w:r>
              <w:rPr>
                <w:rFonts w:ascii="Calibri" w:hAnsi="Calibri"/>
                <w:sz w:val="14"/>
              </w:rPr>
              <w:t>I</w:t>
            </w:r>
          </w:p>
        </w:tc>
      </w:tr>
      <w:tr>
        <w:trPr>
          <w:cantSplit/>
        </w:trPr>
        <w:tc>
          <w:tcPr>
            <w:tcW w:type="dxa" w:w="2736"/>
            <w:tcMar>
              <w:top w:w="90" w:type="dxa"/>
              <w:start w:w="120" w:type="dxa"/>
              <w:bottom w:w="90" w:type="dxa"/>
              <w:end w:w="120" w:type="dxa"/>
            </w:tcMar>
            <w:vAlign w:val="center"/>
          </w:tcPr>
          <w:p>
            <w:pPr>
              <w:widowControl/>
              <w:spacing w:after="0"/>
            </w:pPr>
            <w:r>
              <w:rPr>
                <w:rFonts w:ascii="Calibri" w:hAnsi="Calibri"/>
                <w:sz w:val="14"/>
              </w:rPr>
              <w:t>Identify/classify functions and assets</w:t>
            </w:r>
          </w:p>
        </w:tc>
        <w:tc>
          <w:tcPr>
            <w:tcW w:type="dxa" w:w="936"/>
            <w:tcMar>
              <w:top w:w="90" w:type="dxa"/>
              <w:start w:w="120" w:type="dxa"/>
              <w:bottom w:w="90" w:type="dxa"/>
              <w:end w:w="120" w:type="dxa"/>
            </w:tcMar>
            <w:vAlign w:val="center"/>
          </w:tcPr>
          <w:p>
            <w:pPr>
              <w:widowControl/>
              <w:spacing w:after="0"/>
            </w:pPr>
            <w:r>
              <w:rPr>
                <w:rFonts w:ascii="Calibri" w:hAnsi="Calibri"/>
                <w:sz w:val="14"/>
              </w:rPr>
              <w:t>I</w:t>
            </w:r>
          </w:p>
        </w:tc>
        <w:tc>
          <w:tcPr>
            <w:tcW w:type="dxa" w:w="1152"/>
            <w:tcMar>
              <w:top w:w="90" w:type="dxa"/>
              <w:start w:w="120" w:type="dxa"/>
              <w:bottom w:w="90" w:type="dxa"/>
              <w:end w:w="120" w:type="dxa"/>
            </w:tcMar>
            <w:vAlign w:val="center"/>
          </w:tcPr>
          <w:p>
            <w:pPr>
              <w:widowControl/>
              <w:spacing w:after="0"/>
            </w:pPr>
            <w:r>
              <w:rPr>
                <w:rFonts w:ascii="Calibri" w:hAnsi="Calibri"/>
                <w:sz w:val="14"/>
              </w:rPr>
              <w:t>A</w:t>
            </w:r>
          </w:p>
        </w:tc>
        <w:tc>
          <w:tcPr>
            <w:tcW w:type="dxa" w:w="1238"/>
            <w:tcMar>
              <w:top w:w="90" w:type="dxa"/>
              <w:start w:w="120" w:type="dxa"/>
              <w:bottom w:w="90" w:type="dxa"/>
              <w:end w:w="120" w:type="dxa"/>
            </w:tcMar>
            <w:vAlign w:val="center"/>
          </w:tcPr>
          <w:p>
            <w:pPr>
              <w:widowControl/>
              <w:spacing w:after="0"/>
            </w:pPr>
            <w:r>
              <w:rPr>
                <w:rFonts w:ascii="Calibri" w:hAnsi="Calibri"/>
                <w:sz w:val="14"/>
              </w:rPr>
              <w:t>R</w:t>
            </w:r>
          </w:p>
        </w:tc>
        <w:tc>
          <w:tcPr>
            <w:tcW w:type="dxa" w:w="1238"/>
            <w:tcMar>
              <w:top w:w="90" w:type="dxa"/>
              <w:start w:w="120" w:type="dxa"/>
              <w:bottom w:w="90" w:type="dxa"/>
              <w:end w:w="120" w:type="dxa"/>
            </w:tcMar>
            <w:vAlign w:val="center"/>
          </w:tcPr>
          <w:p>
            <w:pPr>
              <w:widowControl/>
              <w:spacing w:after="0"/>
            </w:pPr>
            <w:r>
              <w:rPr>
                <w:rFonts w:ascii="Calibri" w:hAnsi="Calibri"/>
                <w:sz w:val="14"/>
              </w:rPr>
              <w:t>R</w:t>
            </w:r>
          </w:p>
        </w:tc>
        <w:tc>
          <w:tcPr>
            <w:tcW w:type="dxa" w:w="1382"/>
            <w:tcMar>
              <w:top w:w="90" w:type="dxa"/>
              <w:start w:w="120" w:type="dxa"/>
              <w:bottom w:w="90" w:type="dxa"/>
              <w:end w:w="120" w:type="dxa"/>
            </w:tcMar>
            <w:vAlign w:val="center"/>
          </w:tcPr>
          <w:p>
            <w:pPr>
              <w:widowControl/>
              <w:spacing w:after="0"/>
            </w:pPr>
            <w:r>
              <w:rPr>
                <w:rFonts w:ascii="Calibri" w:hAnsi="Calibri"/>
                <w:sz w:val="14"/>
              </w:rPr>
              <w:t>C</w:t>
            </w:r>
          </w:p>
        </w:tc>
        <w:tc>
          <w:tcPr>
            <w:tcW w:type="dxa" w:w="1195"/>
            <w:tcMar>
              <w:top w:w="90" w:type="dxa"/>
              <w:start w:w="120" w:type="dxa"/>
              <w:bottom w:w="90" w:type="dxa"/>
              <w:end w:w="120" w:type="dxa"/>
            </w:tcMar>
            <w:vAlign w:val="center"/>
          </w:tcPr>
          <w:p>
            <w:pPr>
              <w:widowControl/>
              <w:spacing w:after="0"/>
            </w:pPr>
            <w:r>
              <w:rPr>
                <w:rFonts w:ascii="Calibri" w:hAnsi="Calibri"/>
                <w:sz w:val="14"/>
              </w:rPr>
              <w:t>I</w:t>
            </w:r>
          </w:p>
        </w:tc>
      </w:tr>
      <w:tr>
        <w:trPr>
          <w:cantSplit/>
        </w:trPr>
        <w:tc>
          <w:tcPr>
            <w:tcW w:type="dxa" w:w="2736"/>
            <w:tcMar>
              <w:top w:w="90" w:type="dxa"/>
              <w:start w:w="120" w:type="dxa"/>
              <w:bottom w:w="90" w:type="dxa"/>
              <w:end w:w="120" w:type="dxa"/>
            </w:tcMar>
            <w:vAlign w:val="center"/>
            <w:shd w:fill="F8FAFC"/>
          </w:tcPr>
          <w:p>
            <w:pPr>
              <w:widowControl/>
              <w:spacing w:after="0"/>
            </w:pPr>
            <w:r>
              <w:rPr>
                <w:rFonts w:ascii="Calibri" w:hAnsi="Calibri"/>
                <w:sz w:val="14"/>
              </w:rPr>
              <w:t>Perform ICT risk assessment</w:t>
            </w:r>
          </w:p>
        </w:tc>
        <w:tc>
          <w:tcPr>
            <w:tcW w:type="dxa" w:w="936"/>
            <w:tcMar>
              <w:top w:w="90" w:type="dxa"/>
              <w:start w:w="120" w:type="dxa"/>
              <w:bottom w:w="90" w:type="dxa"/>
              <w:end w:w="120" w:type="dxa"/>
            </w:tcMar>
            <w:vAlign w:val="center"/>
            <w:shd w:fill="F8FAFC"/>
          </w:tcPr>
          <w:p>
            <w:pPr>
              <w:widowControl/>
              <w:spacing w:after="0"/>
            </w:pPr>
            <w:r>
              <w:rPr>
                <w:rFonts w:ascii="Calibri" w:hAnsi="Calibri"/>
                <w:sz w:val="14"/>
              </w:rPr>
              <w:t>I</w:t>
            </w:r>
          </w:p>
        </w:tc>
        <w:tc>
          <w:tcPr>
            <w:tcW w:type="dxa" w:w="1152"/>
            <w:tcMar>
              <w:top w:w="90" w:type="dxa"/>
              <w:start w:w="120" w:type="dxa"/>
              <w:bottom w:w="90" w:type="dxa"/>
              <w:end w:w="120" w:type="dxa"/>
            </w:tcMar>
            <w:vAlign w:val="center"/>
            <w:shd w:fill="F8FAFC"/>
          </w:tcPr>
          <w:p>
            <w:pPr>
              <w:widowControl/>
              <w:spacing w:after="0"/>
            </w:pPr>
            <w:r>
              <w:rPr>
                <w:rFonts w:ascii="Calibri" w:hAnsi="Calibri"/>
                <w:sz w:val="14"/>
              </w:rPr>
              <w:t>A</w:t>
            </w:r>
          </w:p>
        </w:tc>
        <w:tc>
          <w:tcPr>
            <w:tcW w:type="dxa" w:w="1238"/>
            <w:tcMar>
              <w:top w:w="90" w:type="dxa"/>
              <w:start w:w="120" w:type="dxa"/>
              <w:bottom w:w="90" w:type="dxa"/>
              <w:end w:w="120" w:type="dxa"/>
            </w:tcMar>
            <w:vAlign w:val="center"/>
            <w:shd w:fill="F8FAFC"/>
          </w:tcPr>
          <w:p>
            <w:pPr>
              <w:widowControl/>
              <w:spacing w:after="0"/>
            </w:pPr>
            <w:r>
              <w:rPr>
                <w:rFonts w:ascii="Calibri" w:hAnsi="Calibri"/>
                <w:sz w:val="14"/>
              </w:rPr>
              <w:t>R</w:t>
            </w:r>
          </w:p>
        </w:tc>
        <w:tc>
          <w:tcPr>
            <w:tcW w:type="dxa" w:w="1238"/>
            <w:tcMar>
              <w:top w:w="90" w:type="dxa"/>
              <w:start w:w="120" w:type="dxa"/>
              <w:bottom w:w="90" w:type="dxa"/>
              <w:end w:w="120" w:type="dxa"/>
            </w:tcMar>
            <w:vAlign w:val="center"/>
            <w:shd w:fill="F8FAFC"/>
          </w:tcPr>
          <w:p>
            <w:pPr>
              <w:widowControl/>
              <w:spacing w:after="0"/>
            </w:pPr>
            <w:r>
              <w:rPr>
                <w:rFonts w:ascii="Calibri" w:hAnsi="Calibri"/>
                <w:sz w:val="14"/>
              </w:rPr>
              <w:t>R</w:t>
            </w:r>
          </w:p>
        </w:tc>
        <w:tc>
          <w:tcPr>
            <w:tcW w:type="dxa" w:w="1382"/>
            <w:tcMar>
              <w:top w:w="90" w:type="dxa"/>
              <w:start w:w="120" w:type="dxa"/>
              <w:bottom w:w="90" w:type="dxa"/>
              <w:end w:w="120" w:type="dxa"/>
            </w:tcMar>
            <w:vAlign w:val="center"/>
            <w:shd w:fill="F8FAFC"/>
          </w:tcPr>
          <w:p>
            <w:pPr>
              <w:widowControl/>
              <w:spacing w:after="0"/>
            </w:pPr>
            <w:r>
              <w:rPr>
                <w:rFonts w:ascii="Calibri" w:hAnsi="Calibri"/>
                <w:sz w:val="14"/>
              </w:rPr>
              <w:t>C</w:t>
            </w:r>
          </w:p>
        </w:tc>
        <w:tc>
          <w:tcPr>
            <w:tcW w:type="dxa" w:w="1195"/>
            <w:tcMar>
              <w:top w:w="90" w:type="dxa"/>
              <w:start w:w="120" w:type="dxa"/>
              <w:bottom w:w="90" w:type="dxa"/>
              <w:end w:w="120" w:type="dxa"/>
            </w:tcMar>
            <w:vAlign w:val="center"/>
            <w:shd w:fill="F8FAFC"/>
          </w:tcPr>
          <w:p>
            <w:pPr>
              <w:widowControl/>
              <w:spacing w:after="0"/>
            </w:pPr>
            <w:r>
              <w:rPr>
                <w:rFonts w:ascii="Calibri" w:hAnsi="Calibri"/>
                <w:sz w:val="14"/>
              </w:rPr>
              <w:t>I</w:t>
            </w:r>
          </w:p>
        </w:tc>
      </w:tr>
      <w:tr>
        <w:trPr>
          <w:cantSplit/>
        </w:trPr>
        <w:tc>
          <w:tcPr>
            <w:tcW w:type="dxa" w:w="2736"/>
            <w:tcMar>
              <w:top w:w="90" w:type="dxa"/>
              <w:start w:w="120" w:type="dxa"/>
              <w:bottom w:w="90" w:type="dxa"/>
              <w:end w:w="120" w:type="dxa"/>
            </w:tcMar>
            <w:vAlign w:val="center"/>
          </w:tcPr>
          <w:p>
            <w:pPr>
              <w:widowControl/>
              <w:spacing w:after="0"/>
            </w:pPr>
            <w:r>
              <w:rPr>
                <w:rFonts w:ascii="Calibri" w:hAnsi="Calibri"/>
                <w:sz w:val="14"/>
              </w:rPr>
              <w:t>Approve high residual risk</w:t>
            </w:r>
          </w:p>
        </w:tc>
        <w:tc>
          <w:tcPr>
            <w:tcW w:type="dxa" w:w="936"/>
            <w:tcMar>
              <w:top w:w="90" w:type="dxa"/>
              <w:start w:w="120" w:type="dxa"/>
              <w:bottom w:w="90" w:type="dxa"/>
              <w:end w:w="120" w:type="dxa"/>
            </w:tcMar>
            <w:vAlign w:val="center"/>
          </w:tcPr>
          <w:p>
            <w:pPr>
              <w:widowControl/>
              <w:spacing w:after="0"/>
            </w:pPr>
            <w:r>
              <w:rPr>
                <w:rFonts w:ascii="Calibri" w:hAnsi="Calibri"/>
                <w:sz w:val="14"/>
              </w:rPr>
              <w:t>A</w:t>
            </w:r>
          </w:p>
        </w:tc>
        <w:tc>
          <w:tcPr>
            <w:tcW w:type="dxa" w:w="1152"/>
            <w:tcMar>
              <w:top w:w="90" w:type="dxa"/>
              <w:start w:w="120" w:type="dxa"/>
              <w:bottom w:w="90" w:type="dxa"/>
              <w:end w:w="120" w:type="dxa"/>
            </w:tcMar>
            <w:vAlign w:val="center"/>
          </w:tcPr>
          <w:p>
            <w:pPr>
              <w:widowControl/>
              <w:spacing w:after="0"/>
            </w:pPr>
            <w:r>
              <w:rPr>
                <w:rFonts w:ascii="Calibri" w:hAnsi="Calibri"/>
                <w:sz w:val="14"/>
              </w:rPr>
              <w:t>R</w:t>
            </w:r>
          </w:p>
        </w:tc>
        <w:tc>
          <w:tcPr>
            <w:tcW w:type="dxa" w:w="1238"/>
            <w:tcMar>
              <w:top w:w="90" w:type="dxa"/>
              <w:start w:w="120" w:type="dxa"/>
              <w:bottom w:w="90" w:type="dxa"/>
              <w:end w:w="120" w:type="dxa"/>
            </w:tcMar>
            <w:vAlign w:val="center"/>
          </w:tcPr>
          <w:p>
            <w:pPr>
              <w:widowControl/>
              <w:spacing w:after="0"/>
            </w:pPr>
            <w:r>
              <w:rPr>
                <w:rFonts w:ascii="Calibri" w:hAnsi="Calibri"/>
                <w:sz w:val="14"/>
              </w:rPr>
              <w:t>C</w:t>
            </w:r>
          </w:p>
        </w:tc>
        <w:tc>
          <w:tcPr>
            <w:tcW w:type="dxa" w:w="1238"/>
            <w:tcMar>
              <w:top w:w="90" w:type="dxa"/>
              <w:start w:w="120" w:type="dxa"/>
              <w:bottom w:w="90" w:type="dxa"/>
              <w:end w:w="120" w:type="dxa"/>
            </w:tcMar>
            <w:vAlign w:val="center"/>
          </w:tcPr>
          <w:p>
            <w:pPr>
              <w:widowControl/>
              <w:spacing w:after="0"/>
            </w:pPr>
            <w:r>
              <w:rPr>
                <w:rFonts w:ascii="Calibri" w:hAnsi="Calibri"/>
                <w:sz w:val="14"/>
              </w:rPr>
              <w:t>R</w:t>
            </w:r>
          </w:p>
        </w:tc>
        <w:tc>
          <w:tcPr>
            <w:tcW w:type="dxa" w:w="1382"/>
            <w:tcMar>
              <w:top w:w="90" w:type="dxa"/>
              <w:start w:w="120" w:type="dxa"/>
              <w:bottom w:w="90" w:type="dxa"/>
              <w:end w:w="120" w:type="dxa"/>
            </w:tcMar>
            <w:vAlign w:val="center"/>
          </w:tcPr>
          <w:p>
            <w:pPr>
              <w:widowControl/>
              <w:spacing w:after="0"/>
            </w:pPr>
            <w:r>
              <w:rPr>
                <w:rFonts w:ascii="Calibri" w:hAnsi="Calibri"/>
                <w:sz w:val="14"/>
              </w:rPr>
              <w:t>C</w:t>
            </w:r>
          </w:p>
        </w:tc>
        <w:tc>
          <w:tcPr>
            <w:tcW w:type="dxa" w:w="1195"/>
            <w:tcMar>
              <w:top w:w="90" w:type="dxa"/>
              <w:start w:w="120" w:type="dxa"/>
              <w:bottom w:w="90" w:type="dxa"/>
              <w:end w:w="120" w:type="dxa"/>
            </w:tcMar>
            <w:vAlign w:val="center"/>
          </w:tcPr>
          <w:p>
            <w:pPr>
              <w:widowControl/>
              <w:spacing w:after="0"/>
            </w:pPr>
            <w:r>
              <w:rPr>
                <w:rFonts w:ascii="Calibri" w:hAnsi="Calibri"/>
                <w:sz w:val="14"/>
              </w:rPr>
              <w:t>I</w:t>
            </w:r>
          </w:p>
        </w:tc>
      </w:tr>
      <w:tr>
        <w:trPr>
          <w:cantSplit/>
        </w:trPr>
        <w:tc>
          <w:tcPr>
            <w:tcW w:type="dxa" w:w="2736"/>
            <w:tcMar>
              <w:top w:w="90" w:type="dxa"/>
              <w:start w:w="120" w:type="dxa"/>
              <w:bottom w:w="90" w:type="dxa"/>
              <w:end w:w="120" w:type="dxa"/>
            </w:tcMar>
            <w:vAlign w:val="center"/>
            <w:shd w:fill="F8FAFC"/>
          </w:tcPr>
          <w:p>
            <w:pPr>
              <w:widowControl/>
              <w:spacing w:after="0"/>
            </w:pPr>
            <w:r>
              <w:rPr>
                <w:rFonts w:ascii="Calibri" w:hAnsi="Calibri"/>
                <w:sz w:val="14"/>
              </w:rPr>
              <w:t>Operate security controls</w:t>
            </w:r>
          </w:p>
        </w:tc>
        <w:tc>
          <w:tcPr>
            <w:tcW w:type="dxa" w:w="936"/>
            <w:tcMar>
              <w:top w:w="90" w:type="dxa"/>
              <w:start w:w="120" w:type="dxa"/>
              <w:bottom w:w="90" w:type="dxa"/>
              <w:end w:w="120" w:type="dxa"/>
            </w:tcMar>
            <w:vAlign w:val="center"/>
            <w:shd w:fill="F8FAFC"/>
          </w:tcPr>
          <w:p>
            <w:pPr>
              <w:widowControl/>
              <w:spacing w:after="0"/>
            </w:pPr>
            <w:r>
              <w:rPr>
                <w:rFonts w:ascii="Calibri" w:hAnsi="Calibri"/>
                <w:sz w:val="14"/>
              </w:rPr>
              <w:t>I</w:t>
            </w:r>
          </w:p>
        </w:tc>
        <w:tc>
          <w:tcPr>
            <w:tcW w:type="dxa" w:w="1152"/>
            <w:tcMar>
              <w:top w:w="90" w:type="dxa"/>
              <w:start w:w="120" w:type="dxa"/>
              <w:bottom w:w="90" w:type="dxa"/>
              <w:end w:w="120" w:type="dxa"/>
            </w:tcMar>
            <w:vAlign w:val="center"/>
            <w:shd w:fill="F8FAFC"/>
          </w:tcPr>
          <w:p>
            <w:pPr>
              <w:widowControl/>
              <w:spacing w:after="0"/>
            </w:pPr>
            <w:r>
              <w:rPr>
                <w:rFonts w:ascii="Calibri" w:hAnsi="Calibri"/>
                <w:sz w:val="14"/>
              </w:rPr>
              <w:t>A</w:t>
            </w:r>
          </w:p>
        </w:tc>
        <w:tc>
          <w:tcPr>
            <w:tcW w:type="dxa" w:w="1238"/>
            <w:tcMar>
              <w:top w:w="90" w:type="dxa"/>
              <w:start w:w="120" w:type="dxa"/>
              <w:bottom w:w="90" w:type="dxa"/>
              <w:end w:w="120" w:type="dxa"/>
            </w:tcMar>
            <w:vAlign w:val="center"/>
            <w:shd w:fill="F8FAFC"/>
          </w:tcPr>
          <w:p>
            <w:pPr>
              <w:widowControl/>
              <w:spacing w:after="0"/>
            </w:pPr>
            <w:r>
              <w:rPr>
                <w:rFonts w:ascii="Calibri" w:hAnsi="Calibri"/>
                <w:sz w:val="14"/>
              </w:rPr>
              <w:t>R</w:t>
            </w:r>
          </w:p>
        </w:tc>
        <w:tc>
          <w:tcPr>
            <w:tcW w:type="dxa" w:w="1238"/>
            <w:tcMar>
              <w:top w:w="90" w:type="dxa"/>
              <w:start w:w="120" w:type="dxa"/>
              <w:bottom w:w="90" w:type="dxa"/>
              <w:end w:w="120" w:type="dxa"/>
            </w:tcMar>
            <w:vAlign w:val="center"/>
            <w:shd w:fill="F8FAFC"/>
          </w:tcPr>
          <w:p>
            <w:pPr>
              <w:widowControl/>
              <w:spacing w:after="0"/>
            </w:pPr>
            <w:r>
              <w:rPr>
                <w:rFonts w:ascii="Calibri" w:hAnsi="Calibri"/>
                <w:sz w:val="14"/>
              </w:rPr>
              <w:t>C</w:t>
            </w:r>
          </w:p>
        </w:tc>
        <w:tc>
          <w:tcPr>
            <w:tcW w:type="dxa" w:w="1382"/>
            <w:tcMar>
              <w:top w:w="90" w:type="dxa"/>
              <w:start w:w="120" w:type="dxa"/>
              <w:bottom w:w="90" w:type="dxa"/>
              <w:end w:w="120" w:type="dxa"/>
            </w:tcMar>
            <w:vAlign w:val="center"/>
            <w:shd w:fill="F8FAFC"/>
          </w:tcPr>
          <w:p>
            <w:pPr>
              <w:widowControl/>
              <w:spacing w:after="0"/>
            </w:pPr>
            <w:r>
              <w:rPr>
                <w:rFonts w:ascii="Calibri" w:hAnsi="Calibri"/>
                <w:sz w:val="14"/>
              </w:rPr>
              <w:t>C</w:t>
            </w:r>
          </w:p>
        </w:tc>
        <w:tc>
          <w:tcPr>
            <w:tcW w:type="dxa" w:w="1195"/>
            <w:tcMar>
              <w:top w:w="90" w:type="dxa"/>
              <w:start w:w="120" w:type="dxa"/>
              <w:bottom w:w="90" w:type="dxa"/>
              <w:end w:w="120" w:type="dxa"/>
            </w:tcMar>
            <w:vAlign w:val="center"/>
            <w:shd w:fill="F8FAFC"/>
          </w:tcPr>
          <w:p>
            <w:pPr>
              <w:widowControl/>
              <w:spacing w:after="0"/>
            </w:pPr>
            <w:r>
              <w:rPr>
                <w:rFonts w:ascii="Calibri" w:hAnsi="Calibri"/>
                <w:sz w:val="14"/>
              </w:rPr>
              <w:t>I</w:t>
            </w:r>
          </w:p>
        </w:tc>
      </w:tr>
      <w:tr>
        <w:trPr>
          <w:cantSplit/>
        </w:trPr>
        <w:tc>
          <w:tcPr>
            <w:tcW w:type="dxa" w:w="2736"/>
            <w:tcMar>
              <w:top w:w="90" w:type="dxa"/>
              <w:start w:w="120" w:type="dxa"/>
              <w:bottom w:w="90" w:type="dxa"/>
              <w:end w:w="120" w:type="dxa"/>
            </w:tcMar>
            <w:vAlign w:val="center"/>
          </w:tcPr>
          <w:p>
            <w:pPr>
              <w:widowControl/>
              <w:spacing w:after="0"/>
            </w:pPr>
            <w:r>
              <w:rPr>
                <w:rFonts w:ascii="Calibri" w:hAnsi="Calibri"/>
                <w:sz w:val="14"/>
              </w:rPr>
              <w:t>Manage major ICT incident</w:t>
            </w:r>
          </w:p>
        </w:tc>
        <w:tc>
          <w:tcPr>
            <w:tcW w:type="dxa" w:w="936"/>
            <w:tcMar>
              <w:top w:w="90" w:type="dxa"/>
              <w:start w:w="120" w:type="dxa"/>
              <w:bottom w:w="90" w:type="dxa"/>
              <w:end w:w="120" w:type="dxa"/>
            </w:tcMar>
            <w:vAlign w:val="center"/>
          </w:tcPr>
          <w:p>
            <w:pPr>
              <w:widowControl/>
              <w:spacing w:after="0"/>
            </w:pPr>
            <w:r>
              <w:rPr>
                <w:rFonts w:ascii="Calibri" w:hAnsi="Calibri"/>
                <w:sz w:val="14"/>
              </w:rPr>
              <w:t>I/A*</w:t>
            </w:r>
          </w:p>
        </w:tc>
        <w:tc>
          <w:tcPr>
            <w:tcW w:type="dxa" w:w="1152"/>
            <w:tcMar>
              <w:top w:w="90" w:type="dxa"/>
              <w:start w:w="120" w:type="dxa"/>
              <w:bottom w:w="90" w:type="dxa"/>
              <w:end w:w="120" w:type="dxa"/>
            </w:tcMar>
            <w:vAlign w:val="center"/>
          </w:tcPr>
          <w:p>
            <w:pPr>
              <w:widowControl/>
              <w:spacing w:after="0"/>
            </w:pPr>
            <w:r>
              <w:rPr>
                <w:rFonts w:ascii="Calibri" w:hAnsi="Calibri"/>
                <w:sz w:val="14"/>
              </w:rPr>
              <w:t>A</w:t>
            </w:r>
          </w:p>
        </w:tc>
        <w:tc>
          <w:tcPr>
            <w:tcW w:type="dxa" w:w="1238"/>
            <w:tcMar>
              <w:top w:w="90" w:type="dxa"/>
              <w:start w:w="120" w:type="dxa"/>
              <w:bottom w:w="90" w:type="dxa"/>
              <w:end w:w="120" w:type="dxa"/>
            </w:tcMar>
            <w:vAlign w:val="center"/>
          </w:tcPr>
          <w:p>
            <w:pPr>
              <w:widowControl/>
              <w:spacing w:after="0"/>
            </w:pPr>
            <w:r>
              <w:rPr>
                <w:rFonts w:ascii="Calibri" w:hAnsi="Calibri"/>
                <w:sz w:val="14"/>
              </w:rPr>
              <w:t>R</w:t>
            </w:r>
          </w:p>
        </w:tc>
        <w:tc>
          <w:tcPr>
            <w:tcW w:type="dxa" w:w="1238"/>
            <w:tcMar>
              <w:top w:w="90" w:type="dxa"/>
              <w:start w:w="120" w:type="dxa"/>
              <w:bottom w:w="90" w:type="dxa"/>
              <w:end w:w="120" w:type="dxa"/>
            </w:tcMar>
            <w:vAlign w:val="center"/>
          </w:tcPr>
          <w:p>
            <w:pPr>
              <w:widowControl/>
              <w:spacing w:after="0"/>
            </w:pPr>
            <w:r>
              <w:rPr>
                <w:rFonts w:ascii="Calibri" w:hAnsi="Calibri"/>
                <w:sz w:val="14"/>
              </w:rPr>
              <w:t>C</w:t>
            </w:r>
          </w:p>
        </w:tc>
        <w:tc>
          <w:tcPr>
            <w:tcW w:type="dxa" w:w="1382"/>
            <w:tcMar>
              <w:top w:w="90" w:type="dxa"/>
              <w:start w:w="120" w:type="dxa"/>
              <w:bottom w:w="90" w:type="dxa"/>
              <w:end w:w="120" w:type="dxa"/>
            </w:tcMar>
            <w:vAlign w:val="center"/>
          </w:tcPr>
          <w:p>
            <w:pPr>
              <w:widowControl/>
              <w:spacing w:after="0"/>
            </w:pPr>
            <w:r>
              <w:rPr>
                <w:rFonts w:ascii="Calibri" w:hAnsi="Calibri"/>
                <w:sz w:val="14"/>
              </w:rPr>
              <w:t>C</w:t>
            </w:r>
          </w:p>
        </w:tc>
        <w:tc>
          <w:tcPr>
            <w:tcW w:type="dxa" w:w="1195"/>
            <w:tcMar>
              <w:top w:w="90" w:type="dxa"/>
              <w:start w:w="120" w:type="dxa"/>
              <w:bottom w:w="90" w:type="dxa"/>
              <w:end w:w="120" w:type="dxa"/>
            </w:tcMar>
            <w:vAlign w:val="center"/>
          </w:tcPr>
          <w:p>
            <w:pPr>
              <w:widowControl/>
              <w:spacing w:after="0"/>
            </w:pPr>
            <w:r>
              <w:rPr>
                <w:rFonts w:ascii="Calibri" w:hAnsi="Calibri"/>
                <w:sz w:val="14"/>
              </w:rPr>
              <w:t>I</w:t>
            </w:r>
          </w:p>
        </w:tc>
      </w:tr>
      <w:tr>
        <w:trPr>
          <w:cantSplit/>
        </w:trPr>
        <w:tc>
          <w:tcPr>
            <w:tcW w:type="dxa" w:w="2736"/>
            <w:tcMar>
              <w:top w:w="90" w:type="dxa"/>
              <w:start w:w="120" w:type="dxa"/>
              <w:bottom w:w="90" w:type="dxa"/>
              <w:end w:w="120" w:type="dxa"/>
            </w:tcMar>
            <w:vAlign w:val="center"/>
            <w:shd w:fill="F8FAFC"/>
          </w:tcPr>
          <w:p>
            <w:pPr>
              <w:widowControl/>
              <w:spacing w:after="0"/>
            </w:pPr>
            <w:r>
              <w:rPr>
                <w:rFonts w:ascii="Calibri" w:hAnsi="Calibri"/>
                <w:sz w:val="14"/>
              </w:rPr>
              <w:t>Manage provider risk and exit</w:t>
            </w:r>
          </w:p>
        </w:tc>
        <w:tc>
          <w:tcPr>
            <w:tcW w:type="dxa" w:w="936"/>
            <w:tcMar>
              <w:top w:w="90" w:type="dxa"/>
              <w:start w:w="120" w:type="dxa"/>
              <w:bottom w:w="90" w:type="dxa"/>
              <w:end w:w="120" w:type="dxa"/>
            </w:tcMar>
            <w:vAlign w:val="center"/>
            <w:shd w:fill="F8FAFC"/>
          </w:tcPr>
          <w:p>
            <w:pPr>
              <w:widowControl/>
              <w:spacing w:after="0"/>
            </w:pPr>
            <w:r>
              <w:rPr>
                <w:rFonts w:ascii="Calibri" w:hAnsi="Calibri"/>
                <w:sz w:val="14"/>
              </w:rPr>
              <w:t>I/A*</w:t>
            </w:r>
          </w:p>
        </w:tc>
        <w:tc>
          <w:tcPr>
            <w:tcW w:type="dxa" w:w="1152"/>
            <w:tcMar>
              <w:top w:w="90" w:type="dxa"/>
              <w:start w:w="120" w:type="dxa"/>
              <w:bottom w:w="90" w:type="dxa"/>
              <w:end w:w="120" w:type="dxa"/>
            </w:tcMar>
            <w:vAlign w:val="center"/>
            <w:shd w:fill="F8FAFC"/>
          </w:tcPr>
          <w:p>
            <w:pPr>
              <w:widowControl/>
              <w:spacing w:after="0"/>
            </w:pPr>
            <w:r>
              <w:rPr>
                <w:rFonts w:ascii="Calibri" w:hAnsi="Calibri"/>
                <w:sz w:val="14"/>
              </w:rPr>
              <w:t>A</w:t>
            </w:r>
          </w:p>
        </w:tc>
        <w:tc>
          <w:tcPr>
            <w:tcW w:type="dxa" w:w="1238"/>
            <w:tcMar>
              <w:top w:w="90" w:type="dxa"/>
              <w:start w:w="120" w:type="dxa"/>
              <w:bottom w:w="90" w:type="dxa"/>
              <w:end w:w="120" w:type="dxa"/>
            </w:tcMar>
            <w:vAlign w:val="center"/>
            <w:shd w:fill="F8FAFC"/>
          </w:tcPr>
          <w:p>
            <w:pPr>
              <w:widowControl/>
              <w:spacing w:after="0"/>
            </w:pPr>
            <w:r>
              <w:rPr>
                <w:rFonts w:ascii="Calibri" w:hAnsi="Calibri"/>
                <w:sz w:val="14"/>
              </w:rPr>
              <w:t>R</w:t>
            </w:r>
          </w:p>
        </w:tc>
        <w:tc>
          <w:tcPr>
            <w:tcW w:type="dxa" w:w="1238"/>
            <w:tcMar>
              <w:top w:w="90" w:type="dxa"/>
              <w:start w:w="120" w:type="dxa"/>
              <w:bottom w:w="90" w:type="dxa"/>
              <w:end w:w="120" w:type="dxa"/>
            </w:tcMar>
            <w:vAlign w:val="center"/>
            <w:shd w:fill="F8FAFC"/>
          </w:tcPr>
          <w:p>
            <w:pPr>
              <w:widowControl/>
              <w:spacing w:after="0"/>
            </w:pPr>
            <w:r>
              <w:rPr>
                <w:rFonts w:ascii="Calibri" w:hAnsi="Calibri"/>
                <w:sz w:val="14"/>
              </w:rPr>
              <w:t>R</w:t>
            </w:r>
          </w:p>
        </w:tc>
        <w:tc>
          <w:tcPr>
            <w:tcW w:type="dxa" w:w="1382"/>
            <w:tcMar>
              <w:top w:w="90" w:type="dxa"/>
              <w:start w:w="120" w:type="dxa"/>
              <w:bottom w:w="90" w:type="dxa"/>
              <w:end w:w="120" w:type="dxa"/>
            </w:tcMar>
            <w:vAlign w:val="center"/>
            <w:shd w:fill="F8FAFC"/>
          </w:tcPr>
          <w:p>
            <w:pPr>
              <w:widowControl/>
              <w:spacing w:after="0"/>
            </w:pPr>
            <w:r>
              <w:rPr>
                <w:rFonts w:ascii="Calibri" w:hAnsi="Calibri"/>
                <w:sz w:val="14"/>
              </w:rPr>
              <w:t>C</w:t>
            </w:r>
          </w:p>
        </w:tc>
        <w:tc>
          <w:tcPr>
            <w:tcW w:type="dxa" w:w="1195"/>
            <w:tcMar>
              <w:top w:w="90" w:type="dxa"/>
              <w:start w:w="120" w:type="dxa"/>
              <w:bottom w:w="90" w:type="dxa"/>
              <w:end w:w="120" w:type="dxa"/>
            </w:tcMar>
            <w:vAlign w:val="center"/>
            <w:shd w:fill="F8FAFC"/>
          </w:tcPr>
          <w:p>
            <w:pPr>
              <w:widowControl/>
              <w:spacing w:after="0"/>
            </w:pPr>
            <w:r>
              <w:rPr>
                <w:rFonts w:ascii="Calibri" w:hAnsi="Calibri"/>
                <w:sz w:val="14"/>
              </w:rPr>
              <w:t>I</w:t>
            </w:r>
          </w:p>
        </w:tc>
      </w:tr>
      <w:tr>
        <w:trPr>
          <w:cantSplit/>
        </w:trPr>
        <w:tc>
          <w:tcPr>
            <w:tcW w:type="dxa" w:w="2736"/>
            <w:tcMar>
              <w:top w:w="90" w:type="dxa"/>
              <w:start w:w="120" w:type="dxa"/>
              <w:bottom w:w="90" w:type="dxa"/>
              <w:end w:w="120" w:type="dxa"/>
            </w:tcMar>
            <w:vAlign w:val="center"/>
          </w:tcPr>
          <w:p>
            <w:pPr>
              <w:widowControl/>
              <w:spacing w:after="0"/>
            </w:pPr>
            <w:r>
              <w:rPr>
                <w:rFonts w:ascii="Calibri" w:hAnsi="Calibri"/>
                <w:sz w:val="14"/>
              </w:rPr>
              <w:t>Approve testing programme</w:t>
            </w:r>
          </w:p>
        </w:tc>
        <w:tc>
          <w:tcPr>
            <w:tcW w:type="dxa" w:w="936"/>
            <w:tcMar>
              <w:top w:w="90" w:type="dxa"/>
              <w:start w:w="120" w:type="dxa"/>
              <w:bottom w:w="90" w:type="dxa"/>
              <w:end w:w="120" w:type="dxa"/>
            </w:tcMar>
            <w:vAlign w:val="center"/>
          </w:tcPr>
          <w:p>
            <w:pPr>
              <w:widowControl/>
              <w:spacing w:after="0"/>
            </w:pPr>
            <w:r>
              <w:rPr>
                <w:rFonts w:ascii="Calibri" w:hAnsi="Calibri"/>
                <w:sz w:val="14"/>
              </w:rPr>
              <w:t>I/A*</w:t>
            </w:r>
          </w:p>
        </w:tc>
        <w:tc>
          <w:tcPr>
            <w:tcW w:type="dxa" w:w="1152"/>
            <w:tcMar>
              <w:top w:w="90" w:type="dxa"/>
              <w:start w:w="120" w:type="dxa"/>
              <w:bottom w:w="90" w:type="dxa"/>
              <w:end w:w="120" w:type="dxa"/>
            </w:tcMar>
            <w:vAlign w:val="center"/>
          </w:tcPr>
          <w:p>
            <w:pPr>
              <w:widowControl/>
              <w:spacing w:after="0"/>
            </w:pPr>
            <w:r>
              <w:rPr>
                <w:rFonts w:ascii="Calibri" w:hAnsi="Calibri"/>
                <w:sz w:val="14"/>
              </w:rPr>
              <w:t>A</w:t>
            </w:r>
          </w:p>
        </w:tc>
        <w:tc>
          <w:tcPr>
            <w:tcW w:type="dxa" w:w="1238"/>
            <w:tcMar>
              <w:top w:w="90" w:type="dxa"/>
              <w:start w:w="120" w:type="dxa"/>
              <w:bottom w:w="90" w:type="dxa"/>
              <w:end w:w="120" w:type="dxa"/>
            </w:tcMar>
            <w:vAlign w:val="center"/>
          </w:tcPr>
          <w:p>
            <w:pPr>
              <w:widowControl/>
              <w:spacing w:after="0"/>
            </w:pPr>
            <w:r>
              <w:rPr>
                <w:rFonts w:ascii="Calibri" w:hAnsi="Calibri"/>
                <w:sz w:val="14"/>
              </w:rPr>
              <w:t>R</w:t>
            </w:r>
          </w:p>
        </w:tc>
        <w:tc>
          <w:tcPr>
            <w:tcW w:type="dxa" w:w="1238"/>
            <w:tcMar>
              <w:top w:w="90" w:type="dxa"/>
              <w:start w:w="120" w:type="dxa"/>
              <w:bottom w:w="90" w:type="dxa"/>
              <w:end w:w="120" w:type="dxa"/>
            </w:tcMar>
            <w:vAlign w:val="center"/>
          </w:tcPr>
          <w:p>
            <w:pPr>
              <w:widowControl/>
              <w:spacing w:after="0"/>
            </w:pPr>
            <w:r>
              <w:rPr>
                <w:rFonts w:ascii="Calibri" w:hAnsi="Calibri"/>
                <w:sz w:val="14"/>
              </w:rPr>
              <w:t>C</w:t>
            </w:r>
          </w:p>
        </w:tc>
        <w:tc>
          <w:tcPr>
            <w:tcW w:type="dxa" w:w="1382"/>
            <w:tcMar>
              <w:top w:w="90" w:type="dxa"/>
              <w:start w:w="120" w:type="dxa"/>
              <w:bottom w:w="90" w:type="dxa"/>
              <w:end w:w="120" w:type="dxa"/>
            </w:tcMar>
            <w:vAlign w:val="center"/>
          </w:tcPr>
          <w:p>
            <w:pPr>
              <w:widowControl/>
              <w:spacing w:after="0"/>
            </w:pPr>
            <w:r>
              <w:rPr>
                <w:rFonts w:ascii="Calibri" w:hAnsi="Calibri"/>
                <w:sz w:val="14"/>
              </w:rPr>
              <w:t>C</w:t>
            </w:r>
          </w:p>
        </w:tc>
        <w:tc>
          <w:tcPr>
            <w:tcW w:type="dxa" w:w="1195"/>
            <w:tcMar>
              <w:top w:w="90" w:type="dxa"/>
              <w:start w:w="120" w:type="dxa"/>
              <w:bottom w:w="90" w:type="dxa"/>
              <w:end w:w="120" w:type="dxa"/>
            </w:tcMar>
            <w:vAlign w:val="center"/>
          </w:tcPr>
          <w:p>
            <w:pPr>
              <w:widowControl/>
              <w:spacing w:after="0"/>
            </w:pPr>
            <w:r>
              <w:rPr>
                <w:rFonts w:ascii="Calibri" w:hAnsi="Calibri"/>
                <w:sz w:val="14"/>
              </w:rPr>
              <w:t>I</w:t>
            </w:r>
          </w:p>
        </w:tc>
      </w:tr>
      <w:tr>
        <w:trPr>
          <w:cantSplit/>
        </w:trPr>
        <w:tc>
          <w:tcPr>
            <w:tcW w:type="dxa" w:w="2736"/>
            <w:tcMar>
              <w:top w:w="90" w:type="dxa"/>
              <w:start w:w="120" w:type="dxa"/>
              <w:bottom w:w="90" w:type="dxa"/>
              <w:end w:w="120" w:type="dxa"/>
            </w:tcMar>
            <w:vAlign w:val="center"/>
            <w:shd w:fill="F8FAFC"/>
          </w:tcPr>
          <w:p>
            <w:pPr>
              <w:widowControl/>
              <w:spacing w:after="0"/>
            </w:pPr>
            <w:r>
              <w:rPr>
                <w:rFonts w:ascii="Calibri" w:hAnsi="Calibri"/>
                <w:sz w:val="14"/>
              </w:rPr>
              <w:t>Perform independent audit</w:t>
            </w:r>
          </w:p>
        </w:tc>
        <w:tc>
          <w:tcPr>
            <w:tcW w:type="dxa" w:w="936"/>
            <w:tcMar>
              <w:top w:w="90" w:type="dxa"/>
              <w:start w:w="120" w:type="dxa"/>
              <w:bottom w:w="90" w:type="dxa"/>
              <w:end w:w="120" w:type="dxa"/>
            </w:tcMar>
            <w:vAlign w:val="center"/>
            <w:shd w:fill="F8FAFC"/>
          </w:tcPr>
          <w:p>
            <w:pPr>
              <w:widowControl/>
              <w:spacing w:after="0"/>
            </w:pPr>
            <w:r>
              <w:rPr>
                <w:rFonts w:ascii="Calibri" w:hAnsi="Calibri"/>
                <w:sz w:val="14"/>
              </w:rPr>
              <w:t>I</w:t>
            </w:r>
          </w:p>
        </w:tc>
        <w:tc>
          <w:tcPr>
            <w:tcW w:type="dxa" w:w="1152"/>
            <w:tcMar>
              <w:top w:w="90" w:type="dxa"/>
              <w:start w:w="120" w:type="dxa"/>
              <w:bottom w:w="90" w:type="dxa"/>
              <w:end w:w="120" w:type="dxa"/>
            </w:tcMar>
            <w:vAlign w:val="center"/>
            <w:shd w:fill="F8FAFC"/>
          </w:tcPr>
          <w:p>
            <w:pPr>
              <w:widowControl/>
              <w:spacing w:after="0"/>
            </w:pPr>
            <w:r>
              <w:rPr>
                <w:rFonts w:ascii="Calibri" w:hAnsi="Calibri"/>
                <w:sz w:val="14"/>
              </w:rPr>
              <w:t>I</w:t>
            </w:r>
          </w:p>
        </w:tc>
        <w:tc>
          <w:tcPr>
            <w:tcW w:type="dxa" w:w="1238"/>
            <w:tcMar>
              <w:top w:w="90" w:type="dxa"/>
              <w:start w:w="120" w:type="dxa"/>
              <w:bottom w:w="90" w:type="dxa"/>
              <w:end w:w="120" w:type="dxa"/>
            </w:tcMar>
            <w:vAlign w:val="center"/>
            <w:shd w:fill="F8FAFC"/>
          </w:tcPr>
          <w:p>
            <w:pPr>
              <w:widowControl/>
              <w:spacing w:after="0"/>
            </w:pPr>
            <w:r>
              <w:rPr>
                <w:rFonts w:ascii="Calibri" w:hAnsi="Calibri"/>
                <w:sz w:val="14"/>
              </w:rPr>
              <w:t>C</w:t>
            </w:r>
          </w:p>
        </w:tc>
        <w:tc>
          <w:tcPr>
            <w:tcW w:type="dxa" w:w="1238"/>
            <w:tcMar>
              <w:top w:w="90" w:type="dxa"/>
              <w:start w:w="120" w:type="dxa"/>
              <w:bottom w:w="90" w:type="dxa"/>
              <w:end w:w="120" w:type="dxa"/>
            </w:tcMar>
            <w:vAlign w:val="center"/>
            <w:shd w:fill="F8FAFC"/>
          </w:tcPr>
          <w:p>
            <w:pPr>
              <w:widowControl/>
              <w:spacing w:after="0"/>
            </w:pPr>
            <w:r>
              <w:rPr>
                <w:rFonts w:ascii="Calibri" w:hAnsi="Calibri"/>
                <w:sz w:val="14"/>
              </w:rPr>
              <w:t>C</w:t>
            </w:r>
          </w:p>
        </w:tc>
        <w:tc>
          <w:tcPr>
            <w:tcW w:type="dxa" w:w="1382"/>
            <w:tcMar>
              <w:top w:w="90" w:type="dxa"/>
              <w:start w:w="120" w:type="dxa"/>
              <w:bottom w:w="90" w:type="dxa"/>
              <w:end w:w="120" w:type="dxa"/>
            </w:tcMar>
            <w:vAlign w:val="center"/>
            <w:shd w:fill="F8FAFC"/>
          </w:tcPr>
          <w:p>
            <w:pPr>
              <w:widowControl/>
              <w:spacing w:after="0"/>
            </w:pPr>
            <w:r>
              <w:rPr>
                <w:rFonts w:ascii="Calibri" w:hAnsi="Calibri"/>
                <w:sz w:val="14"/>
              </w:rPr>
              <w:t>C</w:t>
            </w:r>
          </w:p>
        </w:tc>
        <w:tc>
          <w:tcPr>
            <w:tcW w:type="dxa" w:w="1195"/>
            <w:tcMar>
              <w:top w:w="90" w:type="dxa"/>
              <w:start w:w="120" w:type="dxa"/>
              <w:bottom w:w="90" w:type="dxa"/>
              <w:end w:w="120" w:type="dxa"/>
            </w:tcMar>
            <w:vAlign w:val="center"/>
            <w:shd w:fill="F8FAFC"/>
          </w:tcPr>
          <w:p>
            <w:pPr>
              <w:widowControl/>
              <w:spacing w:after="0"/>
            </w:pPr>
            <w:r>
              <w:rPr>
                <w:rFonts w:ascii="Calibri" w:hAnsi="Calibri"/>
                <w:sz w:val="14"/>
              </w:rPr>
              <w:t>R/A</w:t>
            </w:r>
          </w:p>
        </w:tc>
      </w:tr>
      <w:tr>
        <w:trPr>
          <w:cantSplit/>
        </w:trPr>
        <w:tc>
          <w:tcPr>
            <w:tcW w:type="dxa" w:w="2736"/>
            <w:tcMar>
              <w:top w:w="90" w:type="dxa"/>
              <w:start w:w="120" w:type="dxa"/>
              <w:bottom w:w="90" w:type="dxa"/>
              <w:end w:w="120" w:type="dxa"/>
            </w:tcMar>
            <w:vAlign w:val="center"/>
          </w:tcPr>
          <w:p>
            <w:pPr>
              <w:widowControl/>
              <w:spacing w:after="0"/>
            </w:pPr>
            <w:r>
              <w:rPr>
                <w:rFonts w:ascii="Calibri" w:hAnsi="Calibri"/>
                <w:sz w:val="14"/>
              </w:rPr>
              <w:t>Review framework / Article 41 report</w:t>
            </w:r>
          </w:p>
        </w:tc>
        <w:tc>
          <w:tcPr>
            <w:tcW w:type="dxa" w:w="936"/>
            <w:tcMar>
              <w:top w:w="90" w:type="dxa"/>
              <w:start w:w="120" w:type="dxa"/>
              <w:bottom w:w="90" w:type="dxa"/>
              <w:end w:w="120" w:type="dxa"/>
            </w:tcMar>
            <w:vAlign w:val="center"/>
          </w:tcPr>
          <w:p>
            <w:pPr>
              <w:widowControl/>
              <w:spacing w:after="0"/>
            </w:pPr>
            <w:r>
              <w:rPr>
                <w:rFonts w:ascii="Calibri" w:hAnsi="Calibri"/>
                <w:sz w:val="14"/>
              </w:rPr>
              <w:t>A</w:t>
            </w:r>
          </w:p>
        </w:tc>
        <w:tc>
          <w:tcPr>
            <w:tcW w:type="dxa" w:w="1152"/>
            <w:tcMar>
              <w:top w:w="90" w:type="dxa"/>
              <w:start w:w="120" w:type="dxa"/>
              <w:bottom w:w="90" w:type="dxa"/>
              <w:end w:w="120" w:type="dxa"/>
            </w:tcMar>
            <w:vAlign w:val="center"/>
          </w:tcPr>
          <w:p>
            <w:pPr>
              <w:widowControl/>
              <w:spacing w:after="0"/>
            </w:pPr>
            <w:r>
              <w:rPr>
                <w:rFonts w:ascii="Calibri" w:hAnsi="Calibri"/>
                <w:sz w:val="14"/>
              </w:rPr>
              <w:t>R</w:t>
            </w:r>
          </w:p>
        </w:tc>
        <w:tc>
          <w:tcPr>
            <w:tcW w:type="dxa" w:w="1238"/>
            <w:tcMar>
              <w:top w:w="90" w:type="dxa"/>
              <w:start w:w="120" w:type="dxa"/>
              <w:bottom w:w="90" w:type="dxa"/>
              <w:end w:w="120" w:type="dxa"/>
            </w:tcMar>
            <w:vAlign w:val="center"/>
          </w:tcPr>
          <w:p>
            <w:pPr>
              <w:widowControl/>
              <w:spacing w:after="0"/>
            </w:pPr>
            <w:r>
              <w:rPr>
                <w:rFonts w:ascii="Calibri" w:hAnsi="Calibri"/>
                <w:sz w:val="14"/>
              </w:rPr>
              <w:t>C</w:t>
            </w:r>
          </w:p>
        </w:tc>
        <w:tc>
          <w:tcPr>
            <w:tcW w:type="dxa" w:w="1238"/>
            <w:tcMar>
              <w:top w:w="90" w:type="dxa"/>
              <w:start w:w="120" w:type="dxa"/>
              <w:bottom w:w="90" w:type="dxa"/>
              <w:end w:w="120" w:type="dxa"/>
            </w:tcMar>
            <w:vAlign w:val="center"/>
          </w:tcPr>
          <w:p>
            <w:pPr>
              <w:widowControl/>
              <w:spacing w:after="0"/>
            </w:pPr>
            <w:r>
              <w:rPr>
                <w:rFonts w:ascii="Calibri" w:hAnsi="Calibri"/>
                <w:sz w:val="14"/>
              </w:rPr>
              <w:t>C</w:t>
            </w:r>
          </w:p>
        </w:tc>
        <w:tc>
          <w:tcPr>
            <w:tcW w:type="dxa" w:w="1382"/>
            <w:tcMar>
              <w:top w:w="90" w:type="dxa"/>
              <w:start w:w="120" w:type="dxa"/>
              <w:bottom w:w="90" w:type="dxa"/>
              <w:end w:w="120" w:type="dxa"/>
            </w:tcMar>
            <w:vAlign w:val="center"/>
          </w:tcPr>
          <w:p>
            <w:pPr>
              <w:widowControl/>
              <w:spacing w:after="0"/>
            </w:pPr>
            <w:r>
              <w:rPr>
                <w:rFonts w:ascii="Calibri" w:hAnsi="Calibri"/>
                <w:sz w:val="14"/>
              </w:rPr>
              <w:t>C</w:t>
            </w:r>
          </w:p>
        </w:tc>
        <w:tc>
          <w:tcPr>
            <w:tcW w:type="dxa" w:w="1195"/>
            <w:tcMar>
              <w:top w:w="90" w:type="dxa"/>
              <w:start w:w="120" w:type="dxa"/>
              <w:bottom w:w="90" w:type="dxa"/>
              <w:end w:w="120" w:type="dxa"/>
            </w:tcMar>
            <w:vAlign w:val="center"/>
          </w:tcPr>
          <w:p>
            <w:pPr>
              <w:widowControl/>
              <w:spacing w:after="0"/>
            </w:pPr>
            <w:r>
              <w:rPr>
                <w:rFonts w:ascii="Calibri" w:hAnsi="Calibri"/>
                <w:sz w:val="14"/>
              </w:rPr>
              <w:t>C</w:t>
            </w:r>
          </w:p>
        </w:tc>
      </w:tr>
    </w:tbl>
    <w:p>
      <w:pPr>
        <w:widowControl/>
        <w:spacing w:after="0"/>
      </w:pPr>
    </w:p>
    <w:p>
      <w:pPr>
        <w:pStyle w:val="DraftingNote"/>
        <w:widowControl/>
      </w:pPr>
      <w:r>
        <w:t>* Management-body accountability applies where the matter is material or reserved under this Framework.</w:t>
      </w:r>
    </w:p>
    <w:p>
      <w:pPr>
        <w:pStyle w:val="Heading1"/>
        <w:widowControl/>
      </w:pPr>
      <w:r>
        <w:t>Appendix B — Management-body dashboard template</w:t>
      </w:r>
    </w:p>
    <w:tbl>
      <w:tblPr>
        <w:tblStyle w:val="TableGrid"/>
        <w:tblW w:type="auto" w:w="0"/>
        <w:jc w:val="center"/>
        <w:tblLayout w:type="fixed"/>
        <w:tblLook w:firstColumn="1" w:firstRow="1" w:lastColumn="0" w:lastRow="0" w:noHBand="0" w:noVBand="1" w:val="04A0"/>
      </w:tblPr>
      <w:tblGrid>
        <w:gridCol w:w="3384"/>
        <w:gridCol w:w="1152"/>
        <w:gridCol w:w="1224"/>
        <w:gridCol w:w="1224"/>
        <w:gridCol w:w="2894"/>
      </w:tblGrid>
      <w:tr>
        <w:trPr>
          <w:tblHeader w:val="true"/>
        </w:trPr>
        <w:tc>
          <w:tcPr>
            <w:tcW w:type="dxa" w:w="3384"/>
            <w:shd w:fill="17365D"/>
            <w:tcMar>
              <w:top w:w="90" w:type="dxa"/>
              <w:start w:w="120" w:type="dxa"/>
              <w:bottom w:w="90" w:type="dxa"/>
              <w:end w:w="120" w:type="dxa"/>
            </w:tcMar>
            <w:vAlign w:val="center"/>
          </w:tcPr>
          <w:p>
            <w:pPr>
              <w:widowControl/>
              <w:jc w:val="left"/>
            </w:pPr>
            <w:r>
              <w:rPr>
                <w:rFonts w:ascii="Calibri" w:hAnsi="Calibri"/>
                <w:b/>
                <w:color w:val="FFFFFF"/>
                <w:sz w:val="16"/>
              </w:rPr>
              <w:t>Indicator</w:t>
            </w:r>
          </w:p>
        </w:tc>
        <w:tc>
          <w:tcPr>
            <w:tcW w:type="dxa" w:w="1152"/>
            <w:shd w:fill="17365D"/>
            <w:tcMar>
              <w:top w:w="90" w:type="dxa"/>
              <w:start w:w="120" w:type="dxa"/>
              <w:bottom w:w="90" w:type="dxa"/>
              <w:end w:w="120" w:type="dxa"/>
            </w:tcMar>
            <w:vAlign w:val="center"/>
          </w:tcPr>
          <w:p>
            <w:pPr>
              <w:widowControl/>
              <w:jc w:val="left"/>
            </w:pPr>
            <w:r>
              <w:rPr>
                <w:rFonts w:ascii="Calibri" w:hAnsi="Calibri"/>
                <w:b/>
                <w:color w:val="FFFFFF"/>
                <w:sz w:val="16"/>
              </w:rPr>
              <w:t>Current</w:t>
            </w:r>
          </w:p>
        </w:tc>
        <w:tc>
          <w:tcPr>
            <w:tcW w:type="dxa" w:w="1224"/>
            <w:shd w:fill="17365D"/>
            <w:tcMar>
              <w:top w:w="90" w:type="dxa"/>
              <w:start w:w="120" w:type="dxa"/>
              <w:bottom w:w="90" w:type="dxa"/>
              <w:end w:w="120" w:type="dxa"/>
            </w:tcMar>
            <w:vAlign w:val="center"/>
          </w:tcPr>
          <w:p>
            <w:pPr>
              <w:widowControl/>
              <w:jc w:val="left"/>
            </w:pPr>
            <w:r>
              <w:rPr>
                <w:rFonts w:ascii="Calibri" w:hAnsi="Calibri"/>
                <w:b/>
                <w:color w:val="FFFFFF"/>
                <w:sz w:val="16"/>
              </w:rPr>
              <w:t>Tolerance</w:t>
            </w:r>
          </w:p>
        </w:tc>
        <w:tc>
          <w:tcPr>
            <w:tcW w:type="dxa" w:w="1224"/>
            <w:shd w:fill="17365D"/>
            <w:tcMar>
              <w:top w:w="90" w:type="dxa"/>
              <w:start w:w="120" w:type="dxa"/>
              <w:bottom w:w="90" w:type="dxa"/>
              <w:end w:w="120" w:type="dxa"/>
            </w:tcMar>
            <w:vAlign w:val="center"/>
          </w:tcPr>
          <w:p>
            <w:pPr>
              <w:widowControl/>
              <w:jc w:val="left"/>
            </w:pPr>
            <w:r>
              <w:rPr>
                <w:rFonts w:ascii="Calibri" w:hAnsi="Calibri"/>
                <w:b/>
                <w:color w:val="FFFFFF"/>
                <w:sz w:val="16"/>
              </w:rPr>
              <w:t>Trend</w:t>
            </w:r>
          </w:p>
        </w:tc>
        <w:tc>
          <w:tcPr>
            <w:tcW w:type="dxa" w:w="2894"/>
            <w:shd w:fill="17365D"/>
            <w:tcMar>
              <w:top w:w="90" w:type="dxa"/>
              <w:start w:w="120" w:type="dxa"/>
              <w:bottom w:w="90" w:type="dxa"/>
              <w:end w:w="120" w:type="dxa"/>
            </w:tcMar>
            <w:vAlign w:val="center"/>
          </w:tcPr>
          <w:p>
            <w:pPr>
              <w:widowControl/>
              <w:jc w:val="left"/>
            </w:pPr>
            <w:r>
              <w:rPr>
                <w:rFonts w:ascii="Calibri" w:hAnsi="Calibri"/>
                <w:b/>
                <w:color w:val="FFFFFF"/>
                <w:sz w:val="16"/>
              </w:rPr>
              <w:t>Decision / action</w:t>
            </w:r>
          </w:p>
        </w:tc>
      </w:tr>
      <w:tr>
        <w:trPr>
          <w:cantSplit/>
        </w:trPr>
        <w:tc>
          <w:tcPr>
            <w:tcW w:type="dxa" w:w="3384"/>
            <w:tcMar>
              <w:top w:w="90" w:type="dxa"/>
              <w:start w:w="120" w:type="dxa"/>
              <w:bottom w:w="90" w:type="dxa"/>
              <w:end w:w="120" w:type="dxa"/>
            </w:tcMar>
            <w:vAlign w:val="center"/>
          </w:tcPr>
          <w:p>
            <w:pPr>
              <w:widowControl/>
              <w:spacing w:after="0"/>
            </w:pPr>
            <w:r>
              <w:rPr>
                <w:rFonts w:ascii="Calibri" w:hAnsi="Calibri"/>
                <w:sz w:val="16"/>
              </w:rPr>
              <w:t>Critical functions unavailable</w:t>
            </w:r>
          </w:p>
        </w:tc>
        <w:tc>
          <w:tcPr>
            <w:tcW w:type="dxa" w:w="1152"/>
            <w:tcMar>
              <w:top w:w="90" w:type="dxa"/>
              <w:start w:w="120" w:type="dxa"/>
              <w:bottom w:w="90" w:type="dxa"/>
              <w:end w:w="120" w:type="dxa"/>
            </w:tcMar>
            <w:vAlign w:val="center"/>
          </w:tcPr>
          <w:p>
            <w:pPr>
              <w:widowControl/>
              <w:spacing w:after="0"/>
            </w:pPr>
            <w:r>
              <w:rPr>
                <w:rFonts w:ascii="Calibri" w:hAnsi="Calibri"/>
                <w:sz w:val="16"/>
              </w:rPr>
              <w:t>[ ]</w:t>
            </w:r>
          </w:p>
        </w:tc>
        <w:tc>
          <w:tcPr>
            <w:tcW w:type="dxa" w:w="1224"/>
            <w:tcMar>
              <w:top w:w="90" w:type="dxa"/>
              <w:start w:w="120" w:type="dxa"/>
              <w:bottom w:w="90" w:type="dxa"/>
              <w:end w:w="120" w:type="dxa"/>
            </w:tcMar>
            <w:vAlign w:val="center"/>
          </w:tcPr>
          <w:p>
            <w:pPr>
              <w:widowControl/>
              <w:spacing w:after="0"/>
            </w:pPr>
            <w:r>
              <w:rPr>
                <w:rFonts w:ascii="Calibri" w:hAnsi="Calibri"/>
                <w:sz w:val="16"/>
              </w:rPr>
              <w:t>[ ]</w:t>
            </w:r>
          </w:p>
        </w:tc>
        <w:tc>
          <w:tcPr>
            <w:tcW w:type="dxa" w:w="1224"/>
            <w:tcMar>
              <w:top w:w="90" w:type="dxa"/>
              <w:start w:w="120" w:type="dxa"/>
              <w:bottom w:w="90" w:type="dxa"/>
              <w:end w:w="120" w:type="dxa"/>
            </w:tcMar>
            <w:vAlign w:val="center"/>
          </w:tcPr>
          <w:p>
            <w:pPr>
              <w:widowControl/>
              <w:spacing w:after="0"/>
            </w:pPr>
            <w:r>
              <w:rPr>
                <w:rFonts w:ascii="Calibri" w:hAnsi="Calibri"/>
                <w:sz w:val="16"/>
              </w:rPr>
              <w:t>↑ / → / ↓</w:t>
            </w:r>
          </w:p>
        </w:tc>
        <w:tc>
          <w:tcPr>
            <w:tcW w:type="dxa" w:w="2894"/>
            <w:tcMar>
              <w:top w:w="90" w:type="dxa"/>
              <w:start w:w="120" w:type="dxa"/>
              <w:bottom w:w="90" w:type="dxa"/>
              <w:end w:w="120" w:type="dxa"/>
            </w:tcMar>
            <w:vAlign w:val="center"/>
          </w:tcPr>
          <w:p>
            <w:pPr>
              <w:widowControl/>
              <w:spacing w:after="0"/>
            </w:pPr>
            <w:r>
              <w:rPr>
                <w:rFonts w:ascii="Calibri" w:hAnsi="Calibri"/>
                <w:sz w:val="16"/>
              </w:rPr>
              <w:t>[ ]</w:t>
            </w:r>
          </w:p>
        </w:tc>
      </w:tr>
      <w:tr>
        <w:trPr>
          <w:cantSplit/>
        </w:trPr>
        <w:tc>
          <w:tcPr>
            <w:tcW w:type="dxa" w:w="3384"/>
            <w:tcMar>
              <w:top w:w="90" w:type="dxa"/>
              <w:start w:w="120" w:type="dxa"/>
              <w:bottom w:w="90" w:type="dxa"/>
              <w:end w:w="120" w:type="dxa"/>
            </w:tcMar>
            <w:vAlign w:val="center"/>
            <w:shd w:fill="F8FAFC"/>
          </w:tcPr>
          <w:p>
            <w:pPr>
              <w:widowControl/>
              <w:spacing w:after="0"/>
            </w:pPr>
            <w:r>
              <w:rPr>
                <w:rFonts w:ascii="Calibri" w:hAnsi="Calibri"/>
                <w:sz w:val="16"/>
              </w:rPr>
              <w:t>Major / significant ICT incidents</w:t>
            </w:r>
          </w:p>
        </w:tc>
        <w:tc>
          <w:tcPr>
            <w:tcW w:type="dxa" w:w="1152"/>
            <w:tcMar>
              <w:top w:w="90" w:type="dxa"/>
              <w:start w:w="120" w:type="dxa"/>
              <w:bottom w:w="90" w:type="dxa"/>
              <w:end w:w="120" w:type="dxa"/>
            </w:tcMar>
            <w:vAlign w:val="center"/>
            <w:shd w:fill="F8FAFC"/>
          </w:tcPr>
          <w:p>
            <w:pPr>
              <w:widowControl/>
              <w:spacing w:after="0"/>
            </w:pPr>
            <w:r>
              <w:rPr>
                <w:rFonts w:ascii="Calibri" w:hAnsi="Calibri"/>
                <w:sz w:val="16"/>
              </w:rPr>
              <w:t>[ ]</w:t>
            </w:r>
          </w:p>
        </w:tc>
        <w:tc>
          <w:tcPr>
            <w:tcW w:type="dxa" w:w="1224"/>
            <w:tcMar>
              <w:top w:w="90" w:type="dxa"/>
              <w:start w:w="120" w:type="dxa"/>
              <w:bottom w:w="90" w:type="dxa"/>
              <w:end w:w="120" w:type="dxa"/>
            </w:tcMar>
            <w:vAlign w:val="center"/>
            <w:shd w:fill="F8FAFC"/>
          </w:tcPr>
          <w:p>
            <w:pPr>
              <w:widowControl/>
              <w:spacing w:after="0"/>
            </w:pPr>
            <w:r>
              <w:rPr>
                <w:rFonts w:ascii="Calibri" w:hAnsi="Calibri"/>
                <w:sz w:val="16"/>
              </w:rPr>
              <w:t>[ ]</w:t>
            </w:r>
          </w:p>
        </w:tc>
        <w:tc>
          <w:tcPr>
            <w:tcW w:type="dxa" w:w="1224"/>
            <w:tcMar>
              <w:top w:w="90" w:type="dxa"/>
              <w:start w:w="120" w:type="dxa"/>
              <w:bottom w:w="90" w:type="dxa"/>
              <w:end w:w="120" w:type="dxa"/>
            </w:tcMar>
            <w:vAlign w:val="center"/>
            <w:shd w:fill="F8FAFC"/>
          </w:tcPr>
          <w:p>
            <w:pPr>
              <w:widowControl/>
              <w:spacing w:after="0"/>
            </w:pPr>
            <w:r>
              <w:rPr>
                <w:rFonts w:ascii="Calibri" w:hAnsi="Calibri"/>
                <w:sz w:val="16"/>
              </w:rPr>
              <w:t>↑ / → / ↓</w:t>
            </w:r>
          </w:p>
        </w:tc>
        <w:tc>
          <w:tcPr>
            <w:tcW w:type="dxa" w:w="2894"/>
            <w:tcMar>
              <w:top w:w="90" w:type="dxa"/>
              <w:start w:w="120" w:type="dxa"/>
              <w:bottom w:w="90" w:type="dxa"/>
              <w:end w:w="120" w:type="dxa"/>
            </w:tcMar>
            <w:vAlign w:val="center"/>
            <w:shd w:fill="F8FAFC"/>
          </w:tcPr>
          <w:p>
            <w:pPr>
              <w:widowControl/>
              <w:spacing w:after="0"/>
            </w:pPr>
            <w:r>
              <w:rPr>
                <w:rFonts w:ascii="Calibri" w:hAnsi="Calibri"/>
                <w:sz w:val="16"/>
              </w:rPr>
              <w:t>[ ]</w:t>
            </w:r>
          </w:p>
        </w:tc>
      </w:tr>
      <w:tr>
        <w:trPr>
          <w:cantSplit/>
        </w:trPr>
        <w:tc>
          <w:tcPr>
            <w:tcW w:type="dxa" w:w="3384"/>
            <w:tcMar>
              <w:top w:w="90" w:type="dxa"/>
              <w:start w:w="120" w:type="dxa"/>
              <w:bottom w:w="90" w:type="dxa"/>
              <w:end w:w="120" w:type="dxa"/>
            </w:tcMar>
            <w:vAlign w:val="center"/>
          </w:tcPr>
          <w:p>
            <w:pPr>
              <w:widowControl/>
              <w:spacing w:after="0"/>
            </w:pPr>
            <w:r>
              <w:rPr>
                <w:rFonts w:ascii="Calibri" w:hAnsi="Calibri"/>
                <w:sz w:val="16"/>
              </w:rPr>
              <w:t>High / critical residual risks</w:t>
            </w:r>
          </w:p>
        </w:tc>
        <w:tc>
          <w:tcPr>
            <w:tcW w:type="dxa" w:w="1152"/>
            <w:tcMar>
              <w:top w:w="90" w:type="dxa"/>
              <w:start w:w="120" w:type="dxa"/>
              <w:bottom w:w="90" w:type="dxa"/>
              <w:end w:w="120" w:type="dxa"/>
            </w:tcMar>
            <w:vAlign w:val="center"/>
          </w:tcPr>
          <w:p>
            <w:pPr>
              <w:widowControl/>
              <w:spacing w:after="0"/>
            </w:pPr>
            <w:r>
              <w:rPr>
                <w:rFonts w:ascii="Calibri" w:hAnsi="Calibri"/>
                <w:sz w:val="16"/>
              </w:rPr>
              <w:t>[ ]</w:t>
            </w:r>
          </w:p>
        </w:tc>
        <w:tc>
          <w:tcPr>
            <w:tcW w:type="dxa" w:w="1224"/>
            <w:tcMar>
              <w:top w:w="90" w:type="dxa"/>
              <w:start w:w="120" w:type="dxa"/>
              <w:bottom w:w="90" w:type="dxa"/>
              <w:end w:w="120" w:type="dxa"/>
            </w:tcMar>
            <w:vAlign w:val="center"/>
          </w:tcPr>
          <w:p>
            <w:pPr>
              <w:widowControl/>
              <w:spacing w:after="0"/>
            </w:pPr>
            <w:r>
              <w:rPr>
                <w:rFonts w:ascii="Calibri" w:hAnsi="Calibri"/>
                <w:sz w:val="16"/>
              </w:rPr>
              <w:t>[ ]</w:t>
            </w:r>
          </w:p>
        </w:tc>
        <w:tc>
          <w:tcPr>
            <w:tcW w:type="dxa" w:w="1224"/>
            <w:tcMar>
              <w:top w:w="90" w:type="dxa"/>
              <w:start w:w="120" w:type="dxa"/>
              <w:bottom w:w="90" w:type="dxa"/>
              <w:end w:w="120" w:type="dxa"/>
            </w:tcMar>
            <w:vAlign w:val="center"/>
          </w:tcPr>
          <w:p>
            <w:pPr>
              <w:widowControl/>
              <w:spacing w:after="0"/>
            </w:pPr>
            <w:r>
              <w:rPr>
                <w:rFonts w:ascii="Calibri" w:hAnsi="Calibri"/>
                <w:sz w:val="16"/>
              </w:rPr>
              <w:t>↑ / → / ↓</w:t>
            </w:r>
          </w:p>
        </w:tc>
        <w:tc>
          <w:tcPr>
            <w:tcW w:type="dxa" w:w="2894"/>
            <w:tcMar>
              <w:top w:w="90" w:type="dxa"/>
              <w:start w:w="120" w:type="dxa"/>
              <w:bottom w:w="90" w:type="dxa"/>
              <w:end w:w="120" w:type="dxa"/>
            </w:tcMar>
            <w:vAlign w:val="center"/>
          </w:tcPr>
          <w:p>
            <w:pPr>
              <w:widowControl/>
              <w:spacing w:after="0"/>
            </w:pPr>
            <w:r>
              <w:rPr>
                <w:rFonts w:ascii="Calibri" w:hAnsi="Calibri"/>
                <w:sz w:val="16"/>
              </w:rPr>
              <w:t>[ ]</w:t>
            </w:r>
          </w:p>
        </w:tc>
      </w:tr>
      <w:tr>
        <w:trPr>
          <w:cantSplit/>
        </w:trPr>
        <w:tc>
          <w:tcPr>
            <w:tcW w:type="dxa" w:w="3384"/>
            <w:tcMar>
              <w:top w:w="90" w:type="dxa"/>
              <w:start w:w="120" w:type="dxa"/>
              <w:bottom w:w="90" w:type="dxa"/>
              <w:end w:w="120" w:type="dxa"/>
            </w:tcMar>
            <w:vAlign w:val="center"/>
            <w:shd w:fill="F8FAFC"/>
          </w:tcPr>
          <w:p>
            <w:pPr>
              <w:widowControl/>
              <w:spacing w:after="0"/>
            </w:pPr>
            <w:r>
              <w:rPr>
                <w:rFonts w:ascii="Calibri" w:hAnsi="Calibri"/>
                <w:sz w:val="16"/>
              </w:rPr>
              <w:t>Overdue high-risk treatments</w:t>
            </w:r>
          </w:p>
        </w:tc>
        <w:tc>
          <w:tcPr>
            <w:tcW w:type="dxa" w:w="1152"/>
            <w:tcMar>
              <w:top w:w="90" w:type="dxa"/>
              <w:start w:w="120" w:type="dxa"/>
              <w:bottom w:w="90" w:type="dxa"/>
              <w:end w:w="120" w:type="dxa"/>
            </w:tcMar>
            <w:vAlign w:val="center"/>
            <w:shd w:fill="F8FAFC"/>
          </w:tcPr>
          <w:p>
            <w:pPr>
              <w:widowControl/>
              <w:spacing w:after="0"/>
            </w:pPr>
            <w:r>
              <w:rPr>
                <w:rFonts w:ascii="Calibri" w:hAnsi="Calibri"/>
                <w:sz w:val="16"/>
              </w:rPr>
              <w:t>[ ]</w:t>
            </w:r>
          </w:p>
        </w:tc>
        <w:tc>
          <w:tcPr>
            <w:tcW w:type="dxa" w:w="1224"/>
            <w:tcMar>
              <w:top w:w="90" w:type="dxa"/>
              <w:start w:w="120" w:type="dxa"/>
              <w:bottom w:w="90" w:type="dxa"/>
              <w:end w:w="120" w:type="dxa"/>
            </w:tcMar>
            <w:vAlign w:val="center"/>
            <w:shd w:fill="F8FAFC"/>
          </w:tcPr>
          <w:p>
            <w:pPr>
              <w:widowControl/>
              <w:spacing w:after="0"/>
            </w:pPr>
            <w:r>
              <w:rPr>
                <w:rFonts w:ascii="Calibri" w:hAnsi="Calibri"/>
                <w:sz w:val="16"/>
              </w:rPr>
              <w:t>[ ]</w:t>
            </w:r>
          </w:p>
        </w:tc>
        <w:tc>
          <w:tcPr>
            <w:tcW w:type="dxa" w:w="1224"/>
            <w:tcMar>
              <w:top w:w="90" w:type="dxa"/>
              <w:start w:w="120" w:type="dxa"/>
              <w:bottom w:w="90" w:type="dxa"/>
              <w:end w:w="120" w:type="dxa"/>
            </w:tcMar>
            <w:vAlign w:val="center"/>
            <w:shd w:fill="F8FAFC"/>
          </w:tcPr>
          <w:p>
            <w:pPr>
              <w:widowControl/>
              <w:spacing w:after="0"/>
            </w:pPr>
            <w:r>
              <w:rPr>
                <w:rFonts w:ascii="Calibri" w:hAnsi="Calibri"/>
                <w:sz w:val="16"/>
              </w:rPr>
              <w:t>↑ / → / ↓</w:t>
            </w:r>
          </w:p>
        </w:tc>
        <w:tc>
          <w:tcPr>
            <w:tcW w:type="dxa" w:w="2894"/>
            <w:tcMar>
              <w:top w:w="90" w:type="dxa"/>
              <w:start w:w="120" w:type="dxa"/>
              <w:bottom w:w="90" w:type="dxa"/>
              <w:end w:w="120" w:type="dxa"/>
            </w:tcMar>
            <w:vAlign w:val="center"/>
            <w:shd w:fill="F8FAFC"/>
          </w:tcPr>
          <w:p>
            <w:pPr>
              <w:widowControl/>
              <w:spacing w:after="0"/>
            </w:pPr>
            <w:r>
              <w:rPr>
                <w:rFonts w:ascii="Calibri" w:hAnsi="Calibri"/>
                <w:sz w:val="16"/>
              </w:rPr>
              <w:t>[ ]</w:t>
            </w:r>
          </w:p>
        </w:tc>
      </w:tr>
      <w:tr>
        <w:trPr>
          <w:cantSplit/>
        </w:trPr>
        <w:tc>
          <w:tcPr>
            <w:tcW w:type="dxa" w:w="3384"/>
            <w:tcMar>
              <w:top w:w="90" w:type="dxa"/>
              <w:start w:w="120" w:type="dxa"/>
              <w:bottom w:w="90" w:type="dxa"/>
              <w:end w:w="120" w:type="dxa"/>
            </w:tcMar>
            <w:vAlign w:val="center"/>
          </w:tcPr>
          <w:p>
            <w:pPr>
              <w:widowControl/>
              <w:spacing w:after="0"/>
            </w:pPr>
            <w:r>
              <w:rPr>
                <w:rFonts w:ascii="Calibri" w:hAnsi="Calibri"/>
                <w:sz w:val="16"/>
              </w:rPr>
              <w:t>Critical vulnerabilities overdue</w:t>
            </w:r>
          </w:p>
        </w:tc>
        <w:tc>
          <w:tcPr>
            <w:tcW w:type="dxa" w:w="1152"/>
            <w:tcMar>
              <w:top w:w="90" w:type="dxa"/>
              <w:start w:w="120" w:type="dxa"/>
              <w:bottom w:w="90" w:type="dxa"/>
              <w:end w:w="120" w:type="dxa"/>
            </w:tcMar>
            <w:vAlign w:val="center"/>
          </w:tcPr>
          <w:p>
            <w:pPr>
              <w:widowControl/>
              <w:spacing w:after="0"/>
            </w:pPr>
            <w:r>
              <w:rPr>
                <w:rFonts w:ascii="Calibri" w:hAnsi="Calibri"/>
                <w:sz w:val="16"/>
              </w:rPr>
              <w:t>[ ]</w:t>
            </w:r>
          </w:p>
        </w:tc>
        <w:tc>
          <w:tcPr>
            <w:tcW w:type="dxa" w:w="1224"/>
            <w:tcMar>
              <w:top w:w="90" w:type="dxa"/>
              <w:start w:w="120" w:type="dxa"/>
              <w:bottom w:w="90" w:type="dxa"/>
              <w:end w:w="120" w:type="dxa"/>
            </w:tcMar>
            <w:vAlign w:val="center"/>
          </w:tcPr>
          <w:p>
            <w:pPr>
              <w:widowControl/>
              <w:spacing w:after="0"/>
            </w:pPr>
            <w:r>
              <w:rPr>
                <w:rFonts w:ascii="Calibri" w:hAnsi="Calibri"/>
                <w:sz w:val="16"/>
              </w:rPr>
              <w:t>[ ]</w:t>
            </w:r>
          </w:p>
        </w:tc>
        <w:tc>
          <w:tcPr>
            <w:tcW w:type="dxa" w:w="1224"/>
            <w:tcMar>
              <w:top w:w="90" w:type="dxa"/>
              <w:start w:w="120" w:type="dxa"/>
              <w:bottom w:w="90" w:type="dxa"/>
              <w:end w:w="120" w:type="dxa"/>
            </w:tcMar>
            <w:vAlign w:val="center"/>
          </w:tcPr>
          <w:p>
            <w:pPr>
              <w:widowControl/>
              <w:spacing w:after="0"/>
            </w:pPr>
            <w:r>
              <w:rPr>
                <w:rFonts w:ascii="Calibri" w:hAnsi="Calibri"/>
                <w:sz w:val="16"/>
              </w:rPr>
              <w:t>↑ / → / ↓</w:t>
            </w:r>
          </w:p>
        </w:tc>
        <w:tc>
          <w:tcPr>
            <w:tcW w:type="dxa" w:w="2894"/>
            <w:tcMar>
              <w:top w:w="90" w:type="dxa"/>
              <w:start w:w="120" w:type="dxa"/>
              <w:bottom w:w="90" w:type="dxa"/>
              <w:end w:w="120" w:type="dxa"/>
            </w:tcMar>
            <w:vAlign w:val="center"/>
          </w:tcPr>
          <w:p>
            <w:pPr>
              <w:widowControl/>
              <w:spacing w:after="0"/>
            </w:pPr>
            <w:r>
              <w:rPr>
                <w:rFonts w:ascii="Calibri" w:hAnsi="Calibri"/>
                <w:sz w:val="16"/>
              </w:rPr>
              <w:t>[ ]</w:t>
            </w:r>
          </w:p>
        </w:tc>
      </w:tr>
      <w:tr>
        <w:trPr>
          <w:cantSplit/>
        </w:trPr>
        <w:tc>
          <w:tcPr>
            <w:tcW w:type="dxa" w:w="3384"/>
            <w:tcMar>
              <w:top w:w="90" w:type="dxa"/>
              <w:start w:w="120" w:type="dxa"/>
              <w:bottom w:w="90" w:type="dxa"/>
              <w:end w:w="120" w:type="dxa"/>
            </w:tcMar>
            <w:vAlign w:val="center"/>
            <w:shd w:fill="F8FAFC"/>
          </w:tcPr>
          <w:p>
            <w:pPr>
              <w:widowControl/>
              <w:spacing w:after="0"/>
            </w:pPr>
            <w:r>
              <w:rPr>
                <w:rFonts w:ascii="Calibri" w:hAnsi="Calibri"/>
                <w:sz w:val="16"/>
              </w:rPr>
              <w:t>Backup / restore tests passed</w:t>
            </w:r>
          </w:p>
        </w:tc>
        <w:tc>
          <w:tcPr>
            <w:tcW w:type="dxa" w:w="1152"/>
            <w:tcMar>
              <w:top w:w="90" w:type="dxa"/>
              <w:start w:w="120" w:type="dxa"/>
              <w:bottom w:w="90" w:type="dxa"/>
              <w:end w:w="120" w:type="dxa"/>
            </w:tcMar>
            <w:vAlign w:val="center"/>
            <w:shd w:fill="F8FAFC"/>
          </w:tcPr>
          <w:p>
            <w:pPr>
              <w:widowControl/>
              <w:spacing w:after="0"/>
            </w:pPr>
            <w:r>
              <w:rPr>
                <w:rFonts w:ascii="Calibri" w:hAnsi="Calibri"/>
                <w:sz w:val="16"/>
              </w:rPr>
              <w:t>[ ]</w:t>
            </w:r>
          </w:p>
        </w:tc>
        <w:tc>
          <w:tcPr>
            <w:tcW w:type="dxa" w:w="1224"/>
            <w:tcMar>
              <w:top w:w="90" w:type="dxa"/>
              <w:start w:w="120" w:type="dxa"/>
              <w:bottom w:w="90" w:type="dxa"/>
              <w:end w:w="120" w:type="dxa"/>
            </w:tcMar>
            <w:vAlign w:val="center"/>
            <w:shd w:fill="F8FAFC"/>
          </w:tcPr>
          <w:p>
            <w:pPr>
              <w:widowControl/>
              <w:spacing w:after="0"/>
            </w:pPr>
            <w:r>
              <w:rPr>
                <w:rFonts w:ascii="Calibri" w:hAnsi="Calibri"/>
                <w:sz w:val="16"/>
              </w:rPr>
              <w:t>[ ]</w:t>
            </w:r>
          </w:p>
        </w:tc>
        <w:tc>
          <w:tcPr>
            <w:tcW w:type="dxa" w:w="1224"/>
            <w:tcMar>
              <w:top w:w="90" w:type="dxa"/>
              <w:start w:w="120" w:type="dxa"/>
              <w:bottom w:w="90" w:type="dxa"/>
              <w:end w:w="120" w:type="dxa"/>
            </w:tcMar>
            <w:vAlign w:val="center"/>
            <w:shd w:fill="F8FAFC"/>
          </w:tcPr>
          <w:p>
            <w:pPr>
              <w:widowControl/>
              <w:spacing w:after="0"/>
            </w:pPr>
            <w:r>
              <w:rPr>
                <w:rFonts w:ascii="Calibri" w:hAnsi="Calibri"/>
                <w:sz w:val="16"/>
              </w:rPr>
              <w:t>↑ / → / ↓</w:t>
            </w:r>
          </w:p>
        </w:tc>
        <w:tc>
          <w:tcPr>
            <w:tcW w:type="dxa" w:w="2894"/>
            <w:tcMar>
              <w:top w:w="90" w:type="dxa"/>
              <w:start w:w="120" w:type="dxa"/>
              <w:bottom w:w="90" w:type="dxa"/>
              <w:end w:w="120" w:type="dxa"/>
            </w:tcMar>
            <w:vAlign w:val="center"/>
            <w:shd w:fill="F8FAFC"/>
          </w:tcPr>
          <w:p>
            <w:pPr>
              <w:widowControl/>
              <w:spacing w:after="0"/>
            </w:pPr>
            <w:r>
              <w:rPr>
                <w:rFonts w:ascii="Calibri" w:hAnsi="Calibri"/>
                <w:sz w:val="16"/>
              </w:rPr>
              <w:t>[ ]</w:t>
            </w:r>
          </w:p>
        </w:tc>
      </w:tr>
      <w:tr>
        <w:trPr>
          <w:cantSplit/>
        </w:trPr>
        <w:tc>
          <w:tcPr>
            <w:tcW w:type="dxa" w:w="3384"/>
            <w:tcMar>
              <w:top w:w="90" w:type="dxa"/>
              <w:start w:w="120" w:type="dxa"/>
              <w:bottom w:w="90" w:type="dxa"/>
              <w:end w:w="120" w:type="dxa"/>
            </w:tcMar>
            <w:vAlign w:val="center"/>
          </w:tcPr>
          <w:p>
            <w:pPr>
              <w:widowControl/>
              <w:spacing w:after="0"/>
            </w:pPr>
            <w:r>
              <w:rPr>
                <w:rFonts w:ascii="Calibri" w:hAnsi="Calibri"/>
                <w:sz w:val="16"/>
              </w:rPr>
              <w:t>Access reviews completed</w:t>
            </w:r>
          </w:p>
        </w:tc>
        <w:tc>
          <w:tcPr>
            <w:tcW w:type="dxa" w:w="1152"/>
            <w:tcMar>
              <w:top w:w="90" w:type="dxa"/>
              <w:start w:w="120" w:type="dxa"/>
              <w:bottom w:w="90" w:type="dxa"/>
              <w:end w:w="120" w:type="dxa"/>
            </w:tcMar>
            <w:vAlign w:val="center"/>
          </w:tcPr>
          <w:p>
            <w:pPr>
              <w:widowControl/>
              <w:spacing w:after="0"/>
            </w:pPr>
            <w:r>
              <w:rPr>
                <w:rFonts w:ascii="Calibri" w:hAnsi="Calibri"/>
                <w:sz w:val="16"/>
              </w:rPr>
              <w:t>[ ]</w:t>
            </w:r>
          </w:p>
        </w:tc>
        <w:tc>
          <w:tcPr>
            <w:tcW w:type="dxa" w:w="1224"/>
            <w:tcMar>
              <w:top w:w="90" w:type="dxa"/>
              <w:start w:w="120" w:type="dxa"/>
              <w:bottom w:w="90" w:type="dxa"/>
              <w:end w:w="120" w:type="dxa"/>
            </w:tcMar>
            <w:vAlign w:val="center"/>
          </w:tcPr>
          <w:p>
            <w:pPr>
              <w:widowControl/>
              <w:spacing w:after="0"/>
            </w:pPr>
            <w:r>
              <w:rPr>
                <w:rFonts w:ascii="Calibri" w:hAnsi="Calibri"/>
                <w:sz w:val="16"/>
              </w:rPr>
              <w:t>[ ]</w:t>
            </w:r>
          </w:p>
        </w:tc>
        <w:tc>
          <w:tcPr>
            <w:tcW w:type="dxa" w:w="1224"/>
            <w:tcMar>
              <w:top w:w="90" w:type="dxa"/>
              <w:start w:w="120" w:type="dxa"/>
              <w:bottom w:w="90" w:type="dxa"/>
              <w:end w:w="120" w:type="dxa"/>
            </w:tcMar>
            <w:vAlign w:val="center"/>
          </w:tcPr>
          <w:p>
            <w:pPr>
              <w:widowControl/>
              <w:spacing w:after="0"/>
            </w:pPr>
            <w:r>
              <w:rPr>
                <w:rFonts w:ascii="Calibri" w:hAnsi="Calibri"/>
                <w:sz w:val="16"/>
              </w:rPr>
              <w:t>↑ / → / ↓</w:t>
            </w:r>
          </w:p>
        </w:tc>
        <w:tc>
          <w:tcPr>
            <w:tcW w:type="dxa" w:w="2894"/>
            <w:tcMar>
              <w:top w:w="90" w:type="dxa"/>
              <w:start w:w="120" w:type="dxa"/>
              <w:bottom w:w="90" w:type="dxa"/>
              <w:end w:w="120" w:type="dxa"/>
            </w:tcMar>
            <w:vAlign w:val="center"/>
          </w:tcPr>
          <w:p>
            <w:pPr>
              <w:widowControl/>
              <w:spacing w:after="0"/>
            </w:pPr>
            <w:r>
              <w:rPr>
                <w:rFonts w:ascii="Calibri" w:hAnsi="Calibri"/>
                <w:sz w:val="16"/>
              </w:rPr>
              <w:t>[ ]</w:t>
            </w:r>
          </w:p>
        </w:tc>
      </w:tr>
      <w:tr>
        <w:trPr>
          <w:cantSplit/>
        </w:trPr>
        <w:tc>
          <w:tcPr>
            <w:tcW w:type="dxa" w:w="3384"/>
            <w:tcMar>
              <w:top w:w="90" w:type="dxa"/>
              <w:start w:w="120" w:type="dxa"/>
              <w:bottom w:w="90" w:type="dxa"/>
              <w:end w:w="120" w:type="dxa"/>
            </w:tcMar>
            <w:vAlign w:val="center"/>
            <w:shd w:fill="F8FAFC"/>
          </w:tcPr>
          <w:p>
            <w:pPr>
              <w:widowControl/>
              <w:spacing w:after="0"/>
            </w:pPr>
            <w:r>
              <w:rPr>
                <w:rFonts w:ascii="Calibri" w:hAnsi="Calibri"/>
                <w:sz w:val="16"/>
              </w:rPr>
              <w:t>Critical audit/test findings overdue</w:t>
            </w:r>
          </w:p>
        </w:tc>
        <w:tc>
          <w:tcPr>
            <w:tcW w:type="dxa" w:w="1152"/>
            <w:tcMar>
              <w:top w:w="90" w:type="dxa"/>
              <w:start w:w="120" w:type="dxa"/>
              <w:bottom w:w="90" w:type="dxa"/>
              <w:end w:w="120" w:type="dxa"/>
            </w:tcMar>
            <w:vAlign w:val="center"/>
            <w:shd w:fill="F8FAFC"/>
          </w:tcPr>
          <w:p>
            <w:pPr>
              <w:widowControl/>
              <w:spacing w:after="0"/>
            </w:pPr>
            <w:r>
              <w:rPr>
                <w:rFonts w:ascii="Calibri" w:hAnsi="Calibri"/>
                <w:sz w:val="16"/>
              </w:rPr>
              <w:t>[ ]</w:t>
            </w:r>
          </w:p>
        </w:tc>
        <w:tc>
          <w:tcPr>
            <w:tcW w:type="dxa" w:w="1224"/>
            <w:tcMar>
              <w:top w:w="90" w:type="dxa"/>
              <w:start w:w="120" w:type="dxa"/>
              <w:bottom w:w="90" w:type="dxa"/>
              <w:end w:w="120" w:type="dxa"/>
            </w:tcMar>
            <w:vAlign w:val="center"/>
            <w:shd w:fill="F8FAFC"/>
          </w:tcPr>
          <w:p>
            <w:pPr>
              <w:widowControl/>
              <w:spacing w:after="0"/>
            </w:pPr>
            <w:r>
              <w:rPr>
                <w:rFonts w:ascii="Calibri" w:hAnsi="Calibri"/>
                <w:sz w:val="16"/>
              </w:rPr>
              <w:t>[ ]</w:t>
            </w:r>
          </w:p>
        </w:tc>
        <w:tc>
          <w:tcPr>
            <w:tcW w:type="dxa" w:w="1224"/>
            <w:tcMar>
              <w:top w:w="90" w:type="dxa"/>
              <w:start w:w="120" w:type="dxa"/>
              <w:bottom w:w="90" w:type="dxa"/>
              <w:end w:w="120" w:type="dxa"/>
            </w:tcMar>
            <w:vAlign w:val="center"/>
            <w:shd w:fill="F8FAFC"/>
          </w:tcPr>
          <w:p>
            <w:pPr>
              <w:widowControl/>
              <w:spacing w:after="0"/>
            </w:pPr>
            <w:r>
              <w:rPr>
                <w:rFonts w:ascii="Calibri" w:hAnsi="Calibri"/>
                <w:sz w:val="16"/>
              </w:rPr>
              <w:t>↑ / → / ↓</w:t>
            </w:r>
          </w:p>
        </w:tc>
        <w:tc>
          <w:tcPr>
            <w:tcW w:type="dxa" w:w="2894"/>
            <w:tcMar>
              <w:top w:w="90" w:type="dxa"/>
              <w:start w:w="120" w:type="dxa"/>
              <w:bottom w:w="90" w:type="dxa"/>
              <w:end w:w="120" w:type="dxa"/>
            </w:tcMar>
            <w:vAlign w:val="center"/>
            <w:shd w:fill="F8FAFC"/>
          </w:tcPr>
          <w:p>
            <w:pPr>
              <w:widowControl/>
              <w:spacing w:after="0"/>
            </w:pPr>
            <w:r>
              <w:rPr>
                <w:rFonts w:ascii="Calibri" w:hAnsi="Calibri"/>
                <w:sz w:val="16"/>
              </w:rPr>
              <w:t>[ ]</w:t>
            </w:r>
          </w:p>
        </w:tc>
      </w:tr>
      <w:tr>
        <w:trPr>
          <w:cantSplit/>
        </w:trPr>
        <w:tc>
          <w:tcPr>
            <w:tcW w:type="dxa" w:w="3384"/>
            <w:tcMar>
              <w:top w:w="90" w:type="dxa"/>
              <w:start w:w="120" w:type="dxa"/>
              <w:bottom w:w="90" w:type="dxa"/>
              <w:end w:w="120" w:type="dxa"/>
            </w:tcMar>
            <w:vAlign w:val="center"/>
          </w:tcPr>
          <w:p>
            <w:pPr>
              <w:widowControl/>
              <w:spacing w:after="0"/>
            </w:pPr>
            <w:r>
              <w:rPr>
                <w:rFonts w:ascii="Calibri" w:hAnsi="Calibri"/>
                <w:sz w:val="16"/>
              </w:rPr>
              <w:t>Critical providers with material gaps</w:t>
            </w:r>
          </w:p>
        </w:tc>
        <w:tc>
          <w:tcPr>
            <w:tcW w:type="dxa" w:w="1152"/>
            <w:tcMar>
              <w:top w:w="90" w:type="dxa"/>
              <w:start w:w="120" w:type="dxa"/>
              <w:bottom w:w="90" w:type="dxa"/>
              <w:end w:w="120" w:type="dxa"/>
            </w:tcMar>
            <w:vAlign w:val="center"/>
          </w:tcPr>
          <w:p>
            <w:pPr>
              <w:widowControl/>
              <w:spacing w:after="0"/>
            </w:pPr>
            <w:r>
              <w:rPr>
                <w:rFonts w:ascii="Calibri" w:hAnsi="Calibri"/>
                <w:sz w:val="16"/>
              </w:rPr>
              <w:t>[ ]</w:t>
            </w:r>
          </w:p>
        </w:tc>
        <w:tc>
          <w:tcPr>
            <w:tcW w:type="dxa" w:w="1224"/>
            <w:tcMar>
              <w:top w:w="90" w:type="dxa"/>
              <w:start w:w="120" w:type="dxa"/>
              <w:bottom w:w="90" w:type="dxa"/>
              <w:end w:w="120" w:type="dxa"/>
            </w:tcMar>
            <w:vAlign w:val="center"/>
          </w:tcPr>
          <w:p>
            <w:pPr>
              <w:widowControl/>
              <w:spacing w:after="0"/>
            </w:pPr>
            <w:r>
              <w:rPr>
                <w:rFonts w:ascii="Calibri" w:hAnsi="Calibri"/>
                <w:sz w:val="16"/>
              </w:rPr>
              <w:t>[ ]</w:t>
            </w:r>
          </w:p>
        </w:tc>
        <w:tc>
          <w:tcPr>
            <w:tcW w:type="dxa" w:w="1224"/>
            <w:tcMar>
              <w:top w:w="90" w:type="dxa"/>
              <w:start w:w="120" w:type="dxa"/>
              <w:bottom w:w="90" w:type="dxa"/>
              <w:end w:w="120" w:type="dxa"/>
            </w:tcMar>
            <w:vAlign w:val="center"/>
          </w:tcPr>
          <w:p>
            <w:pPr>
              <w:widowControl/>
              <w:spacing w:after="0"/>
            </w:pPr>
            <w:r>
              <w:rPr>
                <w:rFonts w:ascii="Calibri" w:hAnsi="Calibri"/>
                <w:sz w:val="16"/>
              </w:rPr>
              <w:t>↑ / → / ↓</w:t>
            </w:r>
          </w:p>
        </w:tc>
        <w:tc>
          <w:tcPr>
            <w:tcW w:type="dxa" w:w="2894"/>
            <w:tcMar>
              <w:top w:w="90" w:type="dxa"/>
              <w:start w:w="120" w:type="dxa"/>
              <w:bottom w:w="90" w:type="dxa"/>
              <w:end w:w="120" w:type="dxa"/>
            </w:tcMar>
            <w:vAlign w:val="center"/>
          </w:tcPr>
          <w:p>
            <w:pPr>
              <w:widowControl/>
              <w:spacing w:after="0"/>
            </w:pPr>
            <w:r>
              <w:rPr>
                <w:rFonts w:ascii="Calibri" w:hAnsi="Calibri"/>
                <w:sz w:val="16"/>
              </w:rPr>
              <w:t>[ ]</w:t>
            </w:r>
          </w:p>
        </w:tc>
      </w:tr>
      <w:tr>
        <w:trPr>
          <w:cantSplit/>
        </w:trPr>
        <w:tc>
          <w:tcPr>
            <w:tcW w:type="dxa" w:w="3384"/>
            <w:tcMar>
              <w:top w:w="90" w:type="dxa"/>
              <w:start w:w="120" w:type="dxa"/>
              <w:bottom w:w="90" w:type="dxa"/>
              <w:end w:w="120" w:type="dxa"/>
            </w:tcMar>
            <w:vAlign w:val="center"/>
            <w:shd w:fill="F8FAFC"/>
          </w:tcPr>
          <w:p>
            <w:pPr>
              <w:widowControl/>
              <w:spacing w:after="0"/>
            </w:pPr>
            <w:r>
              <w:rPr>
                <w:rFonts w:ascii="Calibri" w:hAnsi="Calibri"/>
                <w:sz w:val="16"/>
              </w:rPr>
              <w:t>Mandatory training completion</w:t>
            </w:r>
          </w:p>
        </w:tc>
        <w:tc>
          <w:tcPr>
            <w:tcW w:type="dxa" w:w="1152"/>
            <w:tcMar>
              <w:top w:w="90" w:type="dxa"/>
              <w:start w:w="120" w:type="dxa"/>
              <w:bottom w:w="90" w:type="dxa"/>
              <w:end w:w="120" w:type="dxa"/>
            </w:tcMar>
            <w:vAlign w:val="center"/>
            <w:shd w:fill="F8FAFC"/>
          </w:tcPr>
          <w:p>
            <w:pPr>
              <w:widowControl/>
              <w:spacing w:after="0"/>
            </w:pPr>
            <w:r>
              <w:rPr>
                <w:rFonts w:ascii="Calibri" w:hAnsi="Calibri"/>
                <w:sz w:val="16"/>
              </w:rPr>
              <w:t>[ ]</w:t>
            </w:r>
          </w:p>
        </w:tc>
        <w:tc>
          <w:tcPr>
            <w:tcW w:type="dxa" w:w="1224"/>
            <w:tcMar>
              <w:top w:w="90" w:type="dxa"/>
              <w:start w:w="120" w:type="dxa"/>
              <w:bottom w:w="90" w:type="dxa"/>
              <w:end w:w="120" w:type="dxa"/>
            </w:tcMar>
            <w:vAlign w:val="center"/>
            <w:shd w:fill="F8FAFC"/>
          </w:tcPr>
          <w:p>
            <w:pPr>
              <w:widowControl/>
              <w:spacing w:after="0"/>
            </w:pPr>
            <w:r>
              <w:rPr>
                <w:rFonts w:ascii="Calibri" w:hAnsi="Calibri"/>
                <w:sz w:val="16"/>
              </w:rPr>
              <w:t>[ ]</w:t>
            </w:r>
          </w:p>
        </w:tc>
        <w:tc>
          <w:tcPr>
            <w:tcW w:type="dxa" w:w="1224"/>
            <w:tcMar>
              <w:top w:w="90" w:type="dxa"/>
              <w:start w:w="120" w:type="dxa"/>
              <w:bottom w:w="90" w:type="dxa"/>
              <w:end w:w="120" w:type="dxa"/>
            </w:tcMar>
            <w:vAlign w:val="center"/>
            <w:shd w:fill="F8FAFC"/>
          </w:tcPr>
          <w:p>
            <w:pPr>
              <w:widowControl/>
              <w:spacing w:after="0"/>
            </w:pPr>
            <w:r>
              <w:rPr>
                <w:rFonts w:ascii="Calibri" w:hAnsi="Calibri"/>
                <w:sz w:val="16"/>
              </w:rPr>
              <w:t>↑ / → / ↓</w:t>
            </w:r>
          </w:p>
        </w:tc>
        <w:tc>
          <w:tcPr>
            <w:tcW w:type="dxa" w:w="2894"/>
            <w:tcMar>
              <w:top w:w="90" w:type="dxa"/>
              <w:start w:w="120" w:type="dxa"/>
              <w:bottom w:w="90" w:type="dxa"/>
              <w:end w:w="120" w:type="dxa"/>
            </w:tcMar>
            <w:vAlign w:val="center"/>
            <w:shd w:fill="F8FAFC"/>
          </w:tcPr>
          <w:p>
            <w:pPr>
              <w:widowControl/>
              <w:spacing w:after="0"/>
            </w:pPr>
            <w:r>
              <w:rPr>
                <w:rFonts w:ascii="Calibri" w:hAnsi="Calibri"/>
                <w:sz w:val="16"/>
              </w:rPr>
              <w:t>[ ]</w:t>
            </w:r>
          </w:p>
        </w:tc>
      </w:tr>
    </w:tbl>
    <w:p>
      <w:pPr>
        <w:widowControl/>
        <w:spacing w:after="0"/>
      </w:pPr>
    </w:p>
    <w:p>
      <w:pPr>
        <w:pStyle w:val="Heading2"/>
        <w:widowControl/>
      </w:pPr>
      <w:r>
        <w:t>Narrative assessment</w:t>
      </w:r>
    </w:p>
    <w:tbl>
      <w:tblPr>
        <w:tblStyle w:val="TableGrid"/>
        <w:tblW w:type="auto" w:w="0"/>
        <w:jc w:val="center"/>
        <w:tblLayout w:type="fixed"/>
        <w:tblLook w:firstColumn="1" w:firstRow="1" w:lastColumn="0" w:lastRow="0" w:noHBand="0" w:noVBand="1" w:val="04A0"/>
      </w:tblPr>
      <w:tblGrid>
        <w:gridCol w:w="3096"/>
        <w:gridCol w:w="6782"/>
      </w:tblGrid>
      <w:tr>
        <w:trPr>
          <w:tblHeader w:val="true"/>
        </w:trPr>
        <w:tc>
          <w:tcPr>
            <w:tcW w:type="dxa" w:w="3096"/>
            <w:shd w:fill="17365D"/>
            <w:tcMar>
              <w:top w:w="90" w:type="dxa"/>
              <w:start w:w="120" w:type="dxa"/>
              <w:bottom w:w="90" w:type="dxa"/>
              <w:end w:w="120" w:type="dxa"/>
            </w:tcMar>
            <w:vAlign w:val="center"/>
          </w:tcPr>
          <w:p>
            <w:pPr>
              <w:widowControl/>
              <w:jc w:val="left"/>
            </w:pPr>
            <w:r>
              <w:rPr>
                <w:rFonts w:ascii="Calibri" w:hAnsi="Calibri"/>
                <w:b/>
                <w:color w:val="FFFFFF"/>
                <w:sz w:val="17"/>
              </w:rPr>
              <w:t>Topic</w:t>
            </w:r>
          </w:p>
        </w:tc>
        <w:tc>
          <w:tcPr>
            <w:tcW w:type="dxa" w:w="6782"/>
            <w:shd w:fill="17365D"/>
            <w:tcMar>
              <w:top w:w="90" w:type="dxa"/>
              <w:start w:w="120" w:type="dxa"/>
              <w:bottom w:w="90" w:type="dxa"/>
              <w:end w:w="120" w:type="dxa"/>
            </w:tcMar>
            <w:vAlign w:val="center"/>
          </w:tcPr>
          <w:p>
            <w:pPr>
              <w:widowControl/>
              <w:jc w:val="left"/>
            </w:pPr>
            <w:r>
              <w:rPr>
                <w:rFonts w:ascii="Calibri" w:hAnsi="Calibri"/>
                <w:b/>
                <w:color w:val="FFFFFF"/>
                <w:sz w:val="17"/>
              </w:rPr>
              <w:t>Management summary</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b/>
                <w:color w:val="1F4D78"/>
                <w:sz w:val="17"/>
              </w:rPr>
              <w:t>Current and near-term ICT risk</w:t>
            </w:r>
          </w:p>
        </w:tc>
        <w:tc>
          <w:tcPr>
            <w:tcW w:type="dxa" w:w="6782"/>
            <w:tcMar>
              <w:top w:w="90" w:type="dxa"/>
              <w:start w:w="120" w:type="dxa"/>
              <w:bottom w:w="90" w:type="dxa"/>
              <w:end w:w="120" w:type="dxa"/>
            </w:tcMar>
            <w:vAlign w:val="center"/>
          </w:tcPr>
          <w:p>
            <w:pPr>
              <w:widowControl/>
              <w:spacing w:after="0"/>
            </w:pPr>
            <w:r>
              <w:rPr>
                <w:rFonts w:ascii="Calibri" w:hAnsi="Calibri"/>
                <w:sz w:val="17"/>
              </w:rPr>
              <w:t>[SUMMARY]</w:t>
            </w:r>
          </w:p>
        </w:tc>
      </w:tr>
      <w:tr>
        <w:trPr>
          <w:cantSplit/>
        </w:trPr>
        <w:tc>
          <w:tcPr>
            <w:tcW w:type="dxa" w:w="3096"/>
            <w:tcMar>
              <w:top w:w="90" w:type="dxa"/>
              <w:start w:w="120" w:type="dxa"/>
              <w:bottom w:w="90" w:type="dxa"/>
              <w:end w:w="120" w:type="dxa"/>
            </w:tcMar>
            <w:vAlign w:val="center"/>
            <w:shd w:fill="F8FAFC"/>
          </w:tcPr>
          <w:p>
            <w:pPr>
              <w:widowControl/>
              <w:spacing w:after="0"/>
            </w:pPr>
            <w:r>
              <w:rPr>
                <w:rFonts w:ascii="Calibri" w:hAnsi="Calibri"/>
                <w:b/>
                <w:color w:val="1F4D78"/>
                <w:sz w:val="17"/>
              </w:rPr>
              <w:t>Threat and vulnerability developments</w:t>
            </w:r>
          </w:p>
        </w:tc>
        <w:tc>
          <w:tcPr>
            <w:tcW w:type="dxa" w:w="6782"/>
            <w:tcMar>
              <w:top w:w="90" w:type="dxa"/>
              <w:start w:w="120" w:type="dxa"/>
              <w:bottom w:w="90" w:type="dxa"/>
              <w:end w:w="120" w:type="dxa"/>
            </w:tcMar>
            <w:vAlign w:val="center"/>
            <w:shd w:fill="F8FAFC"/>
          </w:tcPr>
          <w:p>
            <w:pPr>
              <w:widowControl/>
              <w:spacing w:after="0"/>
            </w:pPr>
            <w:r>
              <w:rPr>
                <w:rFonts w:ascii="Calibri" w:hAnsi="Calibri"/>
                <w:sz w:val="17"/>
              </w:rPr>
              <w:t>[SUMMARY]</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b/>
                <w:color w:val="1F4D78"/>
                <w:sz w:val="17"/>
              </w:rPr>
              <w:t>Material incidents / near misses</w:t>
            </w:r>
          </w:p>
        </w:tc>
        <w:tc>
          <w:tcPr>
            <w:tcW w:type="dxa" w:w="6782"/>
            <w:tcMar>
              <w:top w:w="90" w:type="dxa"/>
              <w:start w:w="120" w:type="dxa"/>
              <w:bottom w:w="90" w:type="dxa"/>
              <w:end w:w="120" w:type="dxa"/>
            </w:tcMar>
            <w:vAlign w:val="center"/>
          </w:tcPr>
          <w:p>
            <w:pPr>
              <w:widowControl/>
              <w:spacing w:after="0"/>
            </w:pPr>
            <w:r>
              <w:rPr>
                <w:rFonts w:ascii="Calibri" w:hAnsi="Calibri"/>
                <w:sz w:val="17"/>
              </w:rPr>
              <w:t>[SUMMARY]</w:t>
            </w:r>
          </w:p>
        </w:tc>
      </w:tr>
      <w:tr>
        <w:trPr>
          <w:cantSplit/>
        </w:trPr>
        <w:tc>
          <w:tcPr>
            <w:tcW w:type="dxa" w:w="3096"/>
            <w:tcMar>
              <w:top w:w="90" w:type="dxa"/>
              <w:start w:w="120" w:type="dxa"/>
              <w:bottom w:w="90" w:type="dxa"/>
              <w:end w:w="120" w:type="dxa"/>
            </w:tcMar>
            <w:vAlign w:val="center"/>
            <w:shd w:fill="F8FAFC"/>
          </w:tcPr>
          <w:p>
            <w:pPr>
              <w:widowControl/>
              <w:spacing w:after="0"/>
            </w:pPr>
            <w:r>
              <w:rPr>
                <w:rFonts w:ascii="Calibri" w:hAnsi="Calibri"/>
                <w:b/>
                <w:color w:val="1F4D78"/>
                <w:sz w:val="17"/>
              </w:rPr>
              <w:t>Testing and assurance</w:t>
            </w:r>
          </w:p>
        </w:tc>
        <w:tc>
          <w:tcPr>
            <w:tcW w:type="dxa" w:w="6782"/>
            <w:tcMar>
              <w:top w:w="90" w:type="dxa"/>
              <w:start w:w="120" w:type="dxa"/>
              <w:bottom w:w="90" w:type="dxa"/>
              <w:end w:w="120" w:type="dxa"/>
            </w:tcMar>
            <w:vAlign w:val="center"/>
            <w:shd w:fill="F8FAFC"/>
          </w:tcPr>
          <w:p>
            <w:pPr>
              <w:widowControl/>
              <w:spacing w:after="0"/>
            </w:pPr>
            <w:r>
              <w:rPr>
                <w:rFonts w:ascii="Calibri" w:hAnsi="Calibri"/>
                <w:sz w:val="17"/>
              </w:rPr>
              <w:t>[SUMMARY]</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b/>
                <w:color w:val="1F4D78"/>
                <w:sz w:val="17"/>
              </w:rPr>
              <w:t>Third-party dependencies</w:t>
            </w:r>
          </w:p>
        </w:tc>
        <w:tc>
          <w:tcPr>
            <w:tcW w:type="dxa" w:w="6782"/>
            <w:tcMar>
              <w:top w:w="90" w:type="dxa"/>
              <w:start w:w="120" w:type="dxa"/>
              <w:bottom w:w="90" w:type="dxa"/>
              <w:end w:w="120" w:type="dxa"/>
            </w:tcMar>
            <w:vAlign w:val="center"/>
          </w:tcPr>
          <w:p>
            <w:pPr>
              <w:widowControl/>
              <w:spacing w:after="0"/>
            </w:pPr>
            <w:r>
              <w:rPr>
                <w:rFonts w:ascii="Calibri" w:hAnsi="Calibri"/>
                <w:sz w:val="17"/>
              </w:rPr>
              <w:t>[SUMMARY]</w:t>
            </w:r>
          </w:p>
        </w:tc>
      </w:tr>
      <w:tr>
        <w:trPr>
          <w:cantSplit/>
        </w:trPr>
        <w:tc>
          <w:tcPr>
            <w:tcW w:type="dxa" w:w="3096"/>
            <w:tcMar>
              <w:top w:w="90" w:type="dxa"/>
              <w:start w:w="120" w:type="dxa"/>
              <w:bottom w:w="90" w:type="dxa"/>
              <w:end w:w="120" w:type="dxa"/>
            </w:tcMar>
            <w:vAlign w:val="center"/>
            <w:shd w:fill="F8FAFC"/>
          </w:tcPr>
          <w:p>
            <w:pPr>
              <w:widowControl/>
              <w:spacing w:after="0"/>
            </w:pPr>
            <w:r>
              <w:rPr>
                <w:rFonts w:ascii="Calibri" w:hAnsi="Calibri"/>
                <w:b/>
                <w:color w:val="1F4D78"/>
                <w:sz w:val="17"/>
              </w:rPr>
              <w:t>Material changes</w:t>
            </w:r>
          </w:p>
        </w:tc>
        <w:tc>
          <w:tcPr>
            <w:tcW w:type="dxa" w:w="6782"/>
            <w:tcMar>
              <w:top w:w="90" w:type="dxa"/>
              <w:start w:w="120" w:type="dxa"/>
              <w:bottom w:w="90" w:type="dxa"/>
              <w:end w:w="120" w:type="dxa"/>
            </w:tcMar>
            <w:vAlign w:val="center"/>
            <w:shd w:fill="F8FAFC"/>
          </w:tcPr>
          <w:p>
            <w:pPr>
              <w:widowControl/>
              <w:spacing w:after="0"/>
            </w:pPr>
            <w:r>
              <w:rPr>
                <w:rFonts w:ascii="Calibri" w:hAnsi="Calibri"/>
                <w:sz w:val="17"/>
              </w:rPr>
              <w:t>[SUMMARY]</w:t>
            </w:r>
          </w:p>
        </w:tc>
      </w:tr>
      <w:tr>
        <w:trPr>
          <w:cantSplit/>
        </w:trPr>
        <w:tc>
          <w:tcPr>
            <w:tcW w:type="dxa" w:w="3096"/>
            <w:tcMar>
              <w:top w:w="90" w:type="dxa"/>
              <w:start w:w="120" w:type="dxa"/>
              <w:bottom w:w="90" w:type="dxa"/>
              <w:end w:w="120" w:type="dxa"/>
            </w:tcMar>
            <w:vAlign w:val="center"/>
          </w:tcPr>
          <w:p>
            <w:pPr>
              <w:widowControl/>
              <w:spacing w:after="0"/>
            </w:pPr>
            <w:r>
              <w:rPr>
                <w:rFonts w:ascii="Calibri" w:hAnsi="Calibri"/>
                <w:b/>
                <w:color w:val="1F4D78"/>
                <w:sz w:val="17"/>
              </w:rPr>
              <w:t>Resource / budget constraints</w:t>
            </w:r>
          </w:p>
        </w:tc>
        <w:tc>
          <w:tcPr>
            <w:tcW w:type="dxa" w:w="6782"/>
            <w:tcMar>
              <w:top w:w="90" w:type="dxa"/>
              <w:start w:w="120" w:type="dxa"/>
              <w:bottom w:w="90" w:type="dxa"/>
              <w:end w:w="120" w:type="dxa"/>
            </w:tcMar>
            <w:vAlign w:val="center"/>
          </w:tcPr>
          <w:p>
            <w:pPr>
              <w:widowControl/>
              <w:spacing w:after="0"/>
            </w:pPr>
            <w:r>
              <w:rPr>
                <w:rFonts w:ascii="Calibri" w:hAnsi="Calibri"/>
                <w:sz w:val="17"/>
              </w:rPr>
              <w:t>[SUMMARY]</w:t>
            </w:r>
          </w:p>
        </w:tc>
      </w:tr>
      <w:tr>
        <w:trPr>
          <w:cantSplit/>
        </w:trPr>
        <w:tc>
          <w:tcPr>
            <w:tcW w:type="dxa" w:w="3096"/>
            <w:tcMar>
              <w:top w:w="90" w:type="dxa"/>
              <w:start w:w="120" w:type="dxa"/>
              <w:bottom w:w="90" w:type="dxa"/>
              <w:end w:w="120" w:type="dxa"/>
            </w:tcMar>
            <w:vAlign w:val="center"/>
            <w:shd w:fill="F8FAFC"/>
          </w:tcPr>
          <w:p>
            <w:pPr>
              <w:widowControl/>
              <w:spacing w:after="0"/>
            </w:pPr>
            <w:r>
              <w:rPr>
                <w:rFonts w:ascii="Calibri" w:hAnsi="Calibri"/>
                <w:b/>
                <w:color w:val="1F4D78"/>
                <w:sz w:val="17"/>
              </w:rPr>
              <w:t>Decisions requested</w:t>
            </w:r>
          </w:p>
        </w:tc>
        <w:tc>
          <w:tcPr>
            <w:tcW w:type="dxa" w:w="6782"/>
            <w:tcMar>
              <w:top w:w="90" w:type="dxa"/>
              <w:start w:w="120" w:type="dxa"/>
              <w:bottom w:w="90" w:type="dxa"/>
              <w:end w:w="120" w:type="dxa"/>
            </w:tcMar>
            <w:vAlign w:val="center"/>
            <w:shd w:fill="F8FAFC"/>
          </w:tcPr>
          <w:p>
            <w:pPr>
              <w:widowControl/>
              <w:spacing w:after="0"/>
            </w:pPr>
            <w:r>
              <w:rPr>
                <w:rFonts w:ascii="Calibri" w:hAnsi="Calibri"/>
                <w:sz w:val="17"/>
              </w:rPr>
              <w:t>[LIST DECISIONS]</w:t>
            </w:r>
          </w:p>
        </w:tc>
      </w:tr>
    </w:tbl>
    <w:p>
      <w:pPr>
        <w:widowControl/>
        <w:spacing w:after="0"/>
      </w:pPr>
    </w:p>
    <w:p>
      <w:pPr>
        <w:pStyle w:val="Heading1"/>
        <w:widowControl/>
      </w:pPr>
      <w:r>
        <w:t>Appendix C — ICT risk acceptance / exception form</w:t>
      </w:r>
    </w:p>
    <w:tbl>
      <w:tblPr>
        <w:tblStyle w:val="TableGrid"/>
        <w:tblW w:type="auto" w:w="0"/>
        <w:jc w:val="center"/>
        <w:tblLayout w:type="fixed"/>
        <w:tblLook w:firstColumn="1" w:firstRow="1" w:lastColumn="0" w:lastRow="0" w:noHBand="0" w:noVBand="1" w:val="04A0"/>
      </w:tblPr>
      <w:tblGrid>
        <w:gridCol w:w="3024"/>
        <w:gridCol w:w="6854"/>
      </w:tblGrid>
      <w:tr>
        <w:trPr>
          <w:tblHeader w:val="true"/>
        </w:trPr>
        <w:tc>
          <w:tcPr>
            <w:tcW w:type="dxa" w:w="3024"/>
            <w:shd w:fill="17365D"/>
            <w:tcMar>
              <w:top w:w="90" w:type="dxa"/>
              <w:start w:w="120" w:type="dxa"/>
              <w:bottom w:w="90" w:type="dxa"/>
              <w:end w:w="120" w:type="dxa"/>
            </w:tcMar>
            <w:vAlign w:val="center"/>
          </w:tcPr>
          <w:p>
            <w:pPr>
              <w:widowControl/>
              <w:jc w:val="left"/>
            </w:pPr>
            <w:r>
              <w:rPr>
                <w:rFonts w:ascii="Calibri" w:hAnsi="Calibri"/>
                <w:b/>
                <w:color w:val="FFFFFF"/>
                <w:sz w:val="16"/>
              </w:rPr>
              <w:t>Field</w:t>
            </w:r>
          </w:p>
        </w:tc>
        <w:tc>
          <w:tcPr>
            <w:tcW w:type="dxa" w:w="6854"/>
            <w:shd w:fill="17365D"/>
            <w:tcMar>
              <w:top w:w="90" w:type="dxa"/>
              <w:start w:w="120" w:type="dxa"/>
              <w:bottom w:w="90" w:type="dxa"/>
              <w:end w:w="120" w:type="dxa"/>
            </w:tcMar>
            <w:vAlign w:val="center"/>
          </w:tcPr>
          <w:p>
            <w:pPr>
              <w:widowControl/>
              <w:jc w:val="left"/>
            </w:pPr>
            <w:r>
              <w:rPr>
                <w:rFonts w:ascii="Calibri" w:hAnsi="Calibri"/>
                <w:b/>
                <w:color w:val="FFFFFF"/>
                <w:sz w:val="16"/>
              </w:rPr>
              <w:t>Required entry</w:t>
            </w:r>
          </w:p>
        </w:tc>
      </w:tr>
      <w:tr>
        <w:trPr>
          <w:cantSplit/>
        </w:trPr>
        <w:tc>
          <w:tcPr>
            <w:tcW w:type="dxa" w:w="3024"/>
            <w:tcMar>
              <w:top w:w="90" w:type="dxa"/>
              <w:start w:w="120" w:type="dxa"/>
              <w:bottom w:w="90" w:type="dxa"/>
              <w:end w:w="120" w:type="dxa"/>
            </w:tcMar>
            <w:vAlign w:val="center"/>
          </w:tcPr>
          <w:p>
            <w:pPr>
              <w:widowControl/>
              <w:spacing w:after="0"/>
            </w:pPr>
            <w:r>
              <w:rPr>
                <w:rFonts w:ascii="Calibri" w:hAnsi="Calibri"/>
                <w:b/>
                <w:color w:val="1F4D78"/>
                <w:sz w:val="16"/>
              </w:rPr>
              <w:t>Reference</w:t>
            </w:r>
          </w:p>
        </w:tc>
        <w:tc>
          <w:tcPr>
            <w:tcW w:type="dxa" w:w="6854"/>
            <w:tcMar>
              <w:top w:w="90" w:type="dxa"/>
              <w:start w:w="120" w:type="dxa"/>
              <w:bottom w:w="90" w:type="dxa"/>
              <w:end w:w="120" w:type="dxa"/>
            </w:tcMar>
            <w:vAlign w:val="center"/>
          </w:tcPr>
          <w:p>
            <w:pPr>
              <w:widowControl/>
              <w:spacing w:after="0"/>
            </w:pPr>
            <w:r>
              <w:rPr>
                <w:rFonts w:ascii="Calibri" w:hAnsi="Calibri"/>
                <w:sz w:val="16"/>
              </w:rPr>
              <w:t>[RISK / EXCEPTION ID]</w:t>
            </w:r>
          </w:p>
        </w:tc>
      </w:tr>
      <w:tr>
        <w:trPr>
          <w:cantSplit/>
        </w:trPr>
        <w:tc>
          <w:tcPr>
            <w:tcW w:type="dxa" w:w="3024"/>
            <w:tcMar>
              <w:top w:w="90" w:type="dxa"/>
              <w:start w:w="120" w:type="dxa"/>
              <w:bottom w:w="90" w:type="dxa"/>
              <w:end w:w="120" w:type="dxa"/>
            </w:tcMar>
            <w:vAlign w:val="center"/>
            <w:shd w:fill="F8FAFC"/>
          </w:tcPr>
          <w:p>
            <w:pPr>
              <w:widowControl/>
              <w:spacing w:after="0"/>
            </w:pPr>
            <w:r>
              <w:rPr>
                <w:rFonts w:ascii="Calibri" w:hAnsi="Calibri"/>
                <w:b/>
                <w:color w:val="1F4D78"/>
                <w:sz w:val="16"/>
              </w:rPr>
              <w:t>Requirement / control</w:t>
            </w:r>
          </w:p>
        </w:tc>
        <w:tc>
          <w:tcPr>
            <w:tcW w:type="dxa" w:w="6854"/>
            <w:tcMar>
              <w:top w:w="90" w:type="dxa"/>
              <w:start w:w="120" w:type="dxa"/>
              <w:bottom w:w="90" w:type="dxa"/>
              <w:end w:w="120" w:type="dxa"/>
            </w:tcMar>
            <w:vAlign w:val="center"/>
            <w:shd w:fill="F8FAFC"/>
          </w:tcPr>
          <w:p>
            <w:pPr>
              <w:widowControl/>
              <w:spacing w:after="0"/>
            </w:pPr>
            <w:r>
              <w:rPr>
                <w:rFonts w:ascii="Calibri" w:hAnsi="Calibri"/>
                <w:sz w:val="16"/>
              </w:rPr>
              <w:t>[DOCUMENT, SECTION AND REQUIREMENT]</w:t>
            </w:r>
          </w:p>
        </w:tc>
      </w:tr>
      <w:tr>
        <w:trPr>
          <w:cantSplit/>
        </w:trPr>
        <w:tc>
          <w:tcPr>
            <w:tcW w:type="dxa" w:w="3024"/>
            <w:tcMar>
              <w:top w:w="90" w:type="dxa"/>
              <w:start w:w="120" w:type="dxa"/>
              <w:bottom w:w="90" w:type="dxa"/>
              <w:end w:w="120" w:type="dxa"/>
            </w:tcMar>
            <w:vAlign w:val="center"/>
          </w:tcPr>
          <w:p>
            <w:pPr>
              <w:widowControl/>
              <w:spacing w:after="0"/>
            </w:pPr>
            <w:r>
              <w:rPr>
                <w:rFonts w:ascii="Calibri" w:hAnsi="Calibri"/>
                <w:b/>
                <w:color w:val="1F4D78"/>
                <w:sz w:val="16"/>
              </w:rPr>
              <w:t>Business function / assets</w:t>
            </w:r>
          </w:p>
        </w:tc>
        <w:tc>
          <w:tcPr>
            <w:tcW w:type="dxa" w:w="6854"/>
            <w:tcMar>
              <w:top w:w="90" w:type="dxa"/>
              <w:start w:w="120" w:type="dxa"/>
              <w:bottom w:w="90" w:type="dxa"/>
              <w:end w:w="120" w:type="dxa"/>
            </w:tcMar>
            <w:vAlign w:val="center"/>
          </w:tcPr>
          <w:p>
            <w:pPr>
              <w:widowControl/>
              <w:spacing w:after="0"/>
            </w:pPr>
            <w:r>
              <w:rPr>
                <w:rFonts w:ascii="Calibri" w:hAnsi="Calibri"/>
                <w:sz w:val="16"/>
              </w:rPr>
              <w:t>[FUNCTIONS, INFORMATION ASSETS, ICT ASSETS AND PROVIDERS]</w:t>
            </w:r>
          </w:p>
        </w:tc>
      </w:tr>
      <w:tr>
        <w:trPr>
          <w:cantSplit/>
        </w:trPr>
        <w:tc>
          <w:tcPr>
            <w:tcW w:type="dxa" w:w="3024"/>
            <w:tcMar>
              <w:top w:w="90" w:type="dxa"/>
              <w:start w:w="120" w:type="dxa"/>
              <w:bottom w:w="90" w:type="dxa"/>
              <w:end w:w="120" w:type="dxa"/>
            </w:tcMar>
            <w:vAlign w:val="center"/>
            <w:shd w:fill="F8FAFC"/>
          </w:tcPr>
          <w:p>
            <w:pPr>
              <w:widowControl/>
              <w:spacing w:after="0"/>
            </w:pPr>
            <w:r>
              <w:rPr>
                <w:rFonts w:ascii="Calibri" w:hAnsi="Calibri"/>
                <w:b/>
                <w:color w:val="1F4D78"/>
                <w:sz w:val="16"/>
              </w:rPr>
              <w:t>Description and reason</w:t>
            </w:r>
          </w:p>
        </w:tc>
        <w:tc>
          <w:tcPr>
            <w:tcW w:type="dxa" w:w="6854"/>
            <w:tcMar>
              <w:top w:w="90" w:type="dxa"/>
              <w:start w:w="120" w:type="dxa"/>
              <w:bottom w:w="90" w:type="dxa"/>
              <w:end w:w="120" w:type="dxa"/>
            </w:tcMar>
            <w:vAlign w:val="center"/>
            <w:shd w:fill="F8FAFC"/>
          </w:tcPr>
          <w:p>
            <w:pPr>
              <w:widowControl/>
              <w:spacing w:after="0"/>
            </w:pPr>
            <w:r>
              <w:rPr>
                <w:rFonts w:ascii="Calibri" w:hAnsi="Calibri"/>
                <w:sz w:val="16"/>
              </w:rPr>
              <w:t>[WHY THE RISK / EXCEPTION EXISTS]</w:t>
            </w:r>
          </w:p>
        </w:tc>
      </w:tr>
      <w:tr>
        <w:trPr>
          <w:cantSplit/>
        </w:trPr>
        <w:tc>
          <w:tcPr>
            <w:tcW w:type="dxa" w:w="3024"/>
            <w:tcMar>
              <w:top w:w="90" w:type="dxa"/>
              <w:start w:w="120" w:type="dxa"/>
              <w:bottom w:w="90" w:type="dxa"/>
              <w:end w:w="120" w:type="dxa"/>
            </w:tcMar>
            <w:vAlign w:val="center"/>
          </w:tcPr>
          <w:p>
            <w:pPr>
              <w:widowControl/>
              <w:spacing w:after="0"/>
            </w:pPr>
            <w:r>
              <w:rPr>
                <w:rFonts w:ascii="Calibri" w:hAnsi="Calibri"/>
                <w:b/>
                <w:color w:val="1F4D78"/>
                <w:sz w:val="16"/>
              </w:rPr>
              <w:t>Inherent risk</w:t>
            </w:r>
          </w:p>
        </w:tc>
        <w:tc>
          <w:tcPr>
            <w:tcW w:type="dxa" w:w="6854"/>
            <w:tcMar>
              <w:top w:w="90" w:type="dxa"/>
              <w:start w:w="120" w:type="dxa"/>
              <w:bottom w:w="90" w:type="dxa"/>
              <w:end w:w="120" w:type="dxa"/>
            </w:tcMar>
            <w:vAlign w:val="center"/>
          </w:tcPr>
          <w:p>
            <w:pPr>
              <w:widowControl/>
              <w:spacing w:after="0"/>
            </w:pPr>
            <w:r>
              <w:rPr>
                <w:rFonts w:ascii="Calibri" w:hAnsi="Calibri"/>
                <w:sz w:val="16"/>
              </w:rPr>
              <w:t>[LIKELIHOOD, IMPACT, SCORE AND RATIONALE]</w:t>
            </w:r>
          </w:p>
        </w:tc>
      </w:tr>
      <w:tr>
        <w:trPr>
          <w:cantSplit/>
        </w:trPr>
        <w:tc>
          <w:tcPr>
            <w:tcW w:type="dxa" w:w="3024"/>
            <w:tcMar>
              <w:top w:w="90" w:type="dxa"/>
              <w:start w:w="120" w:type="dxa"/>
              <w:bottom w:w="90" w:type="dxa"/>
              <w:end w:w="120" w:type="dxa"/>
            </w:tcMar>
            <w:vAlign w:val="center"/>
            <w:shd w:fill="F8FAFC"/>
          </w:tcPr>
          <w:p>
            <w:pPr>
              <w:widowControl/>
              <w:spacing w:after="0"/>
            </w:pPr>
            <w:r>
              <w:rPr>
                <w:rFonts w:ascii="Calibri" w:hAnsi="Calibri"/>
                <w:b/>
                <w:color w:val="1F4D78"/>
                <w:sz w:val="16"/>
              </w:rPr>
              <w:t>Existing / compensating controls</w:t>
            </w:r>
          </w:p>
        </w:tc>
        <w:tc>
          <w:tcPr>
            <w:tcW w:type="dxa" w:w="6854"/>
            <w:tcMar>
              <w:top w:w="90" w:type="dxa"/>
              <w:start w:w="120" w:type="dxa"/>
              <w:bottom w:w="90" w:type="dxa"/>
              <w:end w:w="120" w:type="dxa"/>
            </w:tcMar>
            <w:vAlign w:val="center"/>
            <w:shd w:fill="F8FAFC"/>
          </w:tcPr>
          <w:p>
            <w:pPr>
              <w:widowControl/>
              <w:spacing w:after="0"/>
            </w:pPr>
            <w:r>
              <w:rPr>
                <w:rFonts w:ascii="Calibri" w:hAnsi="Calibri"/>
                <w:sz w:val="16"/>
              </w:rPr>
              <w:t>[CONTROLS AND EVIDENCE]</w:t>
            </w:r>
          </w:p>
        </w:tc>
      </w:tr>
      <w:tr>
        <w:trPr>
          <w:cantSplit/>
        </w:trPr>
        <w:tc>
          <w:tcPr>
            <w:tcW w:type="dxa" w:w="3024"/>
            <w:tcMar>
              <w:top w:w="90" w:type="dxa"/>
              <w:start w:w="120" w:type="dxa"/>
              <w:bottom w:w="90" w:type="dxa"/>
              <w:end w:w="120" w:type="dxa"/>
            </w:tcMar>
            <w:vAlign w:val="center"/>
          </w:tcPr>
          <w:p>
            <w:pPr>
              <w:widowControl/>
              <w:spacing w:after="0"/>
            </w:pPr>
            <w:r>
              <w:rPr>
                <w:rFonts w:ascii="Calibri" w:hAnsi="Calibri"/>
                <w:b/>
                <w:color w:val="1F4D78"/>
                <w:sz w:val="16"/>
              </w:rPr>
              <w:t>Residual risk</w:t>
            </w:r>
          </w:p>
        </w:tc>
        <w:tc>
          <w:tcPr>
            <w:tcW w:type="dxa" w:w="6854"/>
            <w:tcMar>
              <w:top w:w="90" w:type="dxa"/>
              <w:start w:w="120" w:type="dxa"/>
              <w:bottom w:w="90" w:type="dxa"/>
              <w:end w:w="120" w:type="dxa"/>
            </w:tcMar>
            <w:vAlign w:val="center"/>
          </w:tcPr>
          <w:p>
            <w:pPr>
              <w:widowControl/>
              <w:spacing w:after="0"/>
            </w:pPr>
            <w:r>
              <w:rPr>
                <w:rFonts w:ascii="Calibri" w:hAnsi="Calibri"/>
                <w:sz w:val="16"/>
              </w:rPr>
              <w:t>[LIKELIHOOD, IMPACT, SCORE AND RATIONALE]</w:t>
            </w:r>
          </w:p>
        </w:tc>
      </w:tr>
      <w:tr>
        <w:trPr>
          <w:cantSplit/>
        </w:trPr>
        <w:tc>
          <w:tcPr>
            <w:tcW w:type="dxa" w:w="3024"/>
            <w:tcMar>
              <w:top w:w="90" w:type="dxa"/>
              <w:start w:w="120" w:type="dxa"/>
              <w:bottom w:w="90" w:type="dxa"/>
              <w:end w:w="120" w:type="dxa"/>
            </w:tcMar>
            <w:vAlign w:val="center"/>
            <w:shd w:fill="F8FAFC"/>
          </w:tcPr>
          <w:p>
            <w:pPr>
              <w:widowControl/>
              <w:spacing w:after="0"/>
            </w:pPr>
            <w:r>
              <w:rPr>
                <w:rFonts w:ascii="Calibri" w:hAnsi="Calibri"/>
                <w:b/>
                <w:color w:val="1F4D78"/>
                <w:sz w:val="16"/>
              </w:rPr>
              <w:t>Tolerance assessment</w:t>
            </w:r>
          </w:p>
        </w:tc>
        <w:tc>
          <w:tcPr>
            <w:tcW w:type="dxa" w:w="6854"/>
            <w:tcMar>
              <w:top w:w="90" w:type="dxa"/>
              <w:start w:w="120" w:type="dxa"/>
              <w:bottom w:w="90" w:type="dxa"/>
              <w:end w:w="120" w:type="dxa"/>
            </w:tcMar>
            <w:vAlign w:val="center"/>
            <w:shd w:fill="F8FAFC"/>
          </w:tcPr>
          <w:p>
            <w:pPr>
              <w:widowControl/>
              <w:spacing w:after="0"/>
            </w:pPr>
            <w:r>
              <w:rPr>
                <w:rFonts w:ascii="Calibri" w:hAnsi="Calibri"/>
                <w:sz w:val="16"/>
              </w:rPr>
              <w:t>[WITHIN / OUTSIDE TOLERANCE AND WHY]</w:t>
            </w:r>
          </w:p>
        </w:tc>
      </w:tr>
      <w:tr>
        <w:trPr>
          <w:cantSplit/>
        </w:trPr>
        <w:tc>
          <w:tcPr>
            <w:tcW w:type="dxa" w:w="3024"/>
            <w:tcMar>
              <w:top w:w="90" w:type="dxa"/>
              <w:start w:w="120" w:type="dxa"/>
              <w:bottom w:w="90" w:type="dxa"/>
              <w:end w:w="120" w:type="dxa"/>
            </w:tcMar>
            <w:vAlign w:val="center"/>
          </w:tcPr>
          <w:p>
            <w:pPr>
              <w:widowControl/>
              <w:spacing w:after="0"/>
            </w:pPr>
            <w:r>
              <w:rPr>
                <w:rFonts w:ascii="Calibri" w:hAnsi="Calibri"/>
                <w:b/>
                <w:color w:val="1F4D78"/>
                <w:sz w:val="16"/>
              </w:rPr>
              <w:t>Treatment / closure plan</w:t>
            </w:r>
          </w:p>
        </w:tc>
        <w:tc>
          <w:tcPr>
            <w:tcW w:type="dxa" w:w="6854"/>
            <w:tcMar>
              <w:top w:w="90" w:type="dxa"/>
              <w:start w:w="120" w:type="dxa"/>
              <w:bottom w:w="90" w:type="dxa"/>
              <w:end w:w="120" w:type="dxa"/>
            </w:tcMar>
            <w:vAlign w:val="center"/>
          </w:tcPr>
          <w:p>
            <w:pPr>
              <w:widowControl/>
              <w:spacing w:after="0"/>
            </w:pPr>
            <w:r>
              <w:rPr>
                <w:rFonts w:ascii="Calibri" w:hAnsi="Calibri"/>
                <w:sz w:val="16"/>
              </w:rPr>
              <w:t>[ACTIONS, OWNER, DUE DATE, DEPENDENCIES]</w:t>
            </w:r>
          </w:p>
        </w:tc>
      </w:tr>
      <w:tr>
        <w:trPr>
          <w:cantSplit/>
        </w:trPr>
        <w:tc>
          <w:tcPr>
            <w:tcW w:type="dxa" w:w="3024"/>
            <w:tcMar>
              <w:top w:w="90" w:type="dxa"/>
              <w:start w:w="120" w:type="dxa"/>
              <w:bottom w:w="90" w:type="dxa"/>
              <w:end w:w="120" w:type="dxa"/>
            </w:tcMar>
            <w:vAlign w:val="center"/>
            <w:shd w:fill="F8FAFC"/>
          </w:tcPr>
          <w:p>
            <w:pPr>
              <w:widowControl/>
              <w:spacing w:after="0"/>
            </w:pPr>
            <w:r>
              <w:rPr>
                <w:rFonts w:ascii="Calibri" w:hAnsi="Calibri"/>
                <w:b/>
                <w:color w:val="1F4D78"/>
                <w:sz w:val="16"/>
              </w:rPr>
              <w:t>Monitoring</w:t>
            </w:r>
          </w:p>
        </w:tc>
        <w:tc>
          <w:tcPr>
            <w:tcW w:type="dxa" w:w="6854"/>
            <w:tcMar>
              <w:top w:w="90" w:type="dxa"/>
              <w:start w:w="120" w:type="dxa"/>
              <w:bottom w:w="90" w:type="dxa"/>
              <w:end w:w="120" w:type="dxa"/>
            </w:tcMar>
            <w:vAlign w:val="center"/>
            <w:shd w:fill="F8FAFC"/>
          </w:tcPr>
          <w:p>
            <w:pPr>
              <w:widowControl/>
              <w:spacing w:after="0"/>
            </w:pPr>
            <w:r>
              <w:rPr>
                <w:rFonts w:ascii="Calibri" w:hAnsi="Calibri"/>
                <w:sz w:val="16"/>
              </w:rPr>
              <w:t>[INDICATORS, FREQUENCY AND REPORTING]</w:t>
            </w:r>
          </w:p>
        </w:tc>
      </w:tr>
      <w:tr>
        <w:trPr>
          <w:cantSplit/>
        </w:trPr>
        <w:tc>
          <w:tcPr>
            <w:tcW w:type="dxa" w:w="3024"/>
            <w:tcMar>
              <w:top w:w="90" w:type="dxa"/>
              <w:start w:w="120" w:type="dxa"/>
              <w:bottom w:w="90" w:type="dxa"/>
              <w:end w:w="120" w:type="dxa"/>
            </w:tcMar>
            <w:vAlign w:val="center"/>
          </w:tcPr>
          <w:p>
            <w:pPr>
              <w:widowControl/>
              <w:spacing w:after="0"/>
            </w:pPr>
            <w:r>
              <w:rPr>
                <w:rFonts w:ascii="Calibri" w:hAnsi="Calibri"/>
                <w:b/>
                <w:color w:val="1F4D78"/>
                <w:sz w:val="16"/>
              </w:rPr>
              <w:t>Validity</w:t>
            </w:r>
          </w:p>
        </w:tc>
        <w:tc>
          <w:tcPr>
            <w:tcW w:type="dxa" w:w="6854"/>
            <w:tcMar>
              <w:top w:w="90" w:type="dxa"/>
              <w:start w:w="120" w:type="dxa"/>
              <w:bottom w:w="90" w:type="dxa"/>
              <w:end w:w="120" w:type="dxa"/>
            </w:tcMar>
            <w:vAlign w:val="center"/>
          </w:tcPr>
          <w:p>
            <w:pPr>
              <w:widowControl/>
              <w:spacing w:after="0"/>
            </w:pPr>
            <w:r>
              <w:rPr>
                <w:rFonts w:ascii="Calibri" w:hAnsi="Calibri"/>
                <w:sz w:val="16"/>
              </w:rPr>
              <w:t>[START, EXPIRY AND REVIEW DATE]</w:t>
            </w:r>
          </w:p>
        </w:tc>
      </w:tr>
      <w:tr>
        <w:trPr>
          <w:cantSplit/>
        </w:trPr>
        <w:tc>
          <w:tcPr>
            <w:tcW w:type="dxa" w:w="3024"/>
            <w:tcMar>
              <w:top w:w="90" w:type="dxa"/>
              <w:start w:w="120" w:type="dxa"/>
              <w:bottom w:w="90" w:type="dxa"/>
              <w:end w:w="120" w:type="dxa"/>
            </w:tcMar>
            <w:vAlign w:val="center"/>
            <w:shd w:fill="F8FAFC"/>
          </w:tcPr>
          <w:p>
            <w:pPr>
              <w:widowControl/>
              <w:spacing w:after="0"/>
            </w:pPr>
            <w:r>
              <w:rPr>
                <w:rFonts w:ascii="Calibri" w:hAnsi="Calibri"/>
                <w:b/>
                <w:color w:val="1F4D78"/>
                <w:sz w:val="16"/>
              </w:rPr>
              <w:t>Control-function opinion</w:t>
            </w:r>
          </w:p>
        </w:tc>
        <w:tc>
          <w:tcPr>
            <w:tcW w:type="dxa" w:w="6854"/>
            <w:tcMar>
              <w:top w:w="90" w:type="dxa"/>
              <w:start w:w="120" w:type="dxa"/>
              <w:bottom w:w="90" w:type="dxa"/>
              <w:end w:w="120" w:type="dxa"/>
            </w:tcMar>
            <w:vAlign w:val="center"/>
            <w:shd w:fill="F8FAFC"/>
          </w:tcPr>
          <w:p>
            <w:pPr>
              <w:widowControl/>
              <w:spacing w:after="0"/>
            </w:pPr>
            <w:r>
              <w:rPr>
                <w:rFonts w:ascii="Calibri" w:hAnsi="Calibri"/>
                <w:sz w:val="16"/>
              </w:rPr>
              <w:t>[SUPPORT / DO NOT SUPPORT / CONDITIONS]</w:t>
            </w:r>
          </w:p>
        </w:tc>
      </w:tr>
      <w:tr>
        <w:trPr>
          <w:cantSplit/>
        </w:trPr>
        <w:tc>
          <w:tcPr>
            <w:tcW w:type="dxa" w:w="3024"/>
            <w:tcMar>
              <w:top w:w="90" w:type="dxa"/>
              <w:start w:w="120" w:type="dxa"/>
              <w:bottom w:w="90" w:type="dxa"/>
              <w:end w:w="120" w:type="dxa"/>
            </w:tcMar>
            <w:vAlign w:val="center"/>
          </w:tcPr>
          <w:p>
            <w:pPr>
              <w:widowControl/>
              <w:spacing w:after="0"/>
            </w:pPr>
            <w:r>
              <w:rPr>
                <w:rFonts w:ascii="Calibri" w:hAnsi="Calibri"/>
                <w:b/>
                <w:color w:val="1F4D78"/>
                <w:sz w:val="16"/>
              </w:rPr>
              <w:t>Approval</w:t>
            </w:r>
          </w:p>
        </w:tc>
        <w:tc>
          <w:tcPr>
            <w:tcW w:type="dxa" w:w="6854"/>
            <w:tcMar>
              <w:top w:w="90" w:type="dxa"/>
              <w:start w:w="120" w:type="dxa"/>
              <w:bottom w:w="90" w:type="dxa"/>
              <w:end w:w="120" w:type="dxa"/>
            </w:tcMar>
            <w:vAlign w:val="center"/>
          </w:tcPr>
          <w:p>
            <w:pPr>
              <w:widowControl/>
              <w:spacing w:after="0"/>
            </w:pPr>
            <w:r>
              <w:rPr>
                <w:rFonts w:ascii="Calibri" w:hAnsi="Calibri"/>
                <w:sz w:val="16"/>
              </w:rPr>
              <w:t>[AUTHORITY, DECISION, DATE AND CONDITIONS]</w:t>
            </w:r>
          </w:p>
        </w:tc>
      </w:tr>
      <w:tr>
        <w:trPr>
          <w:cantSplit/>
        </w:trPr>
        <w:tc>
          <w:tcPr>
            <w:tcW w:type="dxa" w:w="3024"/>
            <w:tcMar>
              <w:top w:w="90" w:type="dxa"/>
              <w:start w:w="120" w:type="dxa"/>
              <w:bottom w:w="90" w:type="dxa"/>
              <w:end w:w="120" w:type="dxa"/>
            </w:tcMar>
            <w:vAlign w:val="center"/>
            <w:shd w:fill="F8FAFC"/>
          </w:tcPr>
          <w:p>
            <w:pPr>
              <w:widowControl/>
              <w:spacing w:after="0"/>
            </w:pPr>
            <w:r>
              <w:rPr>
                <w:rFonts w:ascii="Calibri" w:hAnsi="Calibri"/>
                <w:b/>
                <w:color w:val="1F4D78"/>
                <w:sz w:val="16"/>
              </w:rPr>
              <w:t>Closure evidence</w:t>
            </w:r>
          </w:p>
        </w:tc>
        <w:tc>
          <w:tcPr>
            <w:tcW w:type="dxa" w:w="6854"/>
            <w:tcMar>
              <w:top w:w="90" w:type="dxa"/>
              <w:start w:w="120" w:type="dxa"/>
              <w:bottom w:w="90" w:type="dxa"/>
              <w:end w:w="120" w:type="dxa"/>
            </w:tcMar>
            <w:vAlign w:val="center"/>
            <w:shd w:fill="F8FAFC"/>
          </w:tcPr>
          <w:p>
            <w:pPr>
              <w:widowControl/>
              <w:spacing w:after="0"/>
            </w:pPr>
            <w:r>
              <w:rPr>
                <w:rFonts w:ascii="Calibri" w:hAnsi="Calibri"/>
                <w:sz w:val="16"/>
              </w:rPr>
              <w:t>[EVIDENCE AND VERIFIED-BY / DATE]</w:t>
            </w:r>
          </w:p>
        </w:tc>
      </w:tr>
    </w:tbl>
    <w:p>
      <w:pPr>
        <w:widowControl/>
        <w:spacing w:after="0"/>
      </w:pPr>
    </w:p>
    <w:p>
      <w:pPr>
        <w:pStyle w:val="Heading1"/>
        <w:widowControl/>
      </w:pPr>
      <w:r>
        <w:t>Appendix D — Periodic framework review checklist</w:t>
      </w:r>
    </w:p>
    <w:tbl>
      <w:tblPr>
        <w:tblStyle w:val="TableGrid"/>
        <w:tblW w:type="auto" w:w="0"/>
        <w:jc w:val="center"/>
        <w:tblLayout w:type="fixed"/>
        <w:tblLook w:firstColumn="1" w:firstRow="1" w:lastColumn="0" w:lastRow="0" w:noHBand="0" w:noVBand="1" w:val="04A0"/>
      </w:tblPr>
      <w:tblGrid>
        <w:gridCol w:w="1944"/>
        <w:gridCol w:w="5500"/>
        <w:gridCol w:w="2433"/>
      </w:tblGrid>
      <w:tr>
        <w:trPr>
          <w:tblHeader w:val="true"/>
        </w:trPr>
        <w:tc>
          <w:tcPr>
            <w:tcW w:type="dxa" w:w="1944"/>
            <w:shd w:fill="17365D"/>
            <w:tcMar>
              <w:top w:w="90" w:type="dxa"/>
              <w:start w:w="120" w:type="dxa"/>
              <w:bottom w:w="90" w:type="dxa"/>
              <w:end w:w="120" w:type="dxa"/>
            </w:tcMar>
            <w:vAlign w:val="center"/>
          </w:tcPr>
          <w:p>
            <w:pPr>
              <w:widowControl/>
              <w:jc w:val="left"/>
            </w:pPr>
            <w:r>
              <w:rPr>
                <w:rFonts w:ascii="Calibri" w:hAnsi="Calibri"/>
                <w:b/>
                <w:color w:val="FFFFFF"/>
                <w:sz w:val="15"/>
              </w:rPr>
              <w:t>Review area</w:t>
            </w:r>
          </w:p>
        </w:tc>
        <w:tc>
          <w:tcPr>
            <w:tcW w:type="dxa" w:w="5500"/>
            <w:shd w:fill="17365D"/>
            <w:tcMar>
              <w:top w:w="90" w:type="dxa"/>
              <w:start w:w="120" w:type="dxa"/>
              <w:bottom w:w="90" w:type="dxa"/>
              <w:end w:w="120" w:type="dxa"/>
            </w:tcMar>
            <w:vAlign w:val="center"/>
          </w:tcPr>
          <w:p>
            <w:pPr>
              <w:widowControl/>
              <w:jc w:val="left"/>
            </w:pPr>
            <w:r>
              <w:rPr>
                <w:rFonts w:ascii="Calibri" w:hAnsi="Calibri"/>
                <w:b/>
                <w:color w:val="FFFFFF"/>
                <w:sz w:val="15"/>
              </w:rPr>
              <w:t>Minimum review question</w:t>
            </w:r>
          </w:p>
        </w:tc>
        <w:tc>
          <w:tcPr>
            <w:tcW w:type="dxa" w:w="2433"/>
            <w:shd w:fill="17365D"/>
            <w:tcMar>
              <w:top w:w="90" w:type="dxa"/>
              <w:start w:w="120" w:type="dxa"/>
              <w:bottom w:w="90" w:type="dxa"/>
              <w:end w:w="120" w:type="dxa"/>
            </w:tcMar>
            <w:vAlign w:val="center"/>
          </w:tcPr>
          <w:p>
            <w:pPr>
              <w:widowControl/>
              <w:jc w:val="left"/>
            </w:pPr>
            <w:r>
              <w:rPr>
                <w:rFonts w:ascii="Calibri" w:hAnsi="Calibri"/>
                <w:b/>
                <w:color w:val="FFFFFF"/>
                <w:sz w:val="15"/>
              </w:rPr>
              <w:t>Conclusion / action</w:t>
            </w:r>
          </w:p>
        </w:tc>
      </w:tr>
      <w:tr>
        <w:trPr>
          <w:cantSplit/>
        </w:trPr>
        <w:tc>
          <w:tcPr>
            <w:tcW w:type="dxa" w:w="1944"/>
            <w:tcMar>
              <w:top w:w="90" w:type="dxa"/>
              <w:start w:w="120" w:type="dxa"/>
              <w:bottom w:w="90" w:type="dxa"/>
              <w:end w:w="120" w:type="dxa"/>
            </w:tcMar>
            <w:vAlign w:val="center"/>
          </w:tcPr>
          <w:p>
            <w:pPr>
              <w:widowControl/>
              <w:spacing w:after="0"/>
            </w:pPr>
            <w:r>
              <w:rPr>
                <w:rFonts w:ascii="Calibri" w:hAnsi="Calibri"/>
                <w:sz w:val="15"/>
              </w:rPr>
              <w:t>Context and classification</w:t>
            </w:r>
          </w:p>
        </w:tc>
        <w:tc>
          <w:tcPr>
            <w:tcW w:type="dxa" w:w="5500"/>
            <w:tcMar>
              <w:top w:w="90" w:type="dxa"/>
              <w:start w:w="120" w:type="dxa"/>
              <w:bottom w:w="90" w:type="dxa"/>
              <w:end w:w="120" w:type="dxa"/>
            </w:tcMar>
            <w:vAlign w:val="center"/>
          </w:tcPr>
          <w:p>
            <w:pPr>
              <w:widowControl/>
              <w:spacing w:after="0"/>
            </w:pPr>
            <w:r>
              <w:rPr>
                <w:rFonts w:ascii="Calibri" w:hAnsi="Calibri"/>
                <w:sz w:val="15"/>
              </w:rPr>
              <w:t>Business model, licence, SNI and microenterprise conclusions remain correct.</w:t>
            </w:r>
          </w:p>
        </w:tc>
        <w:tc>
          <w:tcPr>
            <w:tcW w:type="dxa" w:w="2433"/>
            <w:tcMar>
              <w:top w:w="90" w:type="dxa"/>
              <w:start w:w="120" w:type="dxa"/>
              <w:bottom w:w="90" w:type="dxa"/>
              <w:end w:w="120" w:type="dxa"/>
            </w:tcMar>
            <w:vAlign w:val="center"/>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shd w:fill="F8FAFC"/>
          </w:tcPr>
          <w:p>
            <w:pPr>
              <w:widowControl/>
              <w:spacing w:after="0"/>
            </w:pPr>
            <w:r>
              <w:rPr>
                <w:rFonts w:ascii="Calibri" w:hAnsi="Calibri"/>
                <w:sz w:val="15"/>
              </w:rPr>
              <w:t>Governance</w:t>
            </w:r>
          </w:p>
        </w:tc>
        <w:tc>
          <w:tcPr>
            <w:tcW w:type="dxa" w:w="5500"/>
            <w:tcMar>
              <w:top w:w="90" w:type="dxa"/>
              <w:start w:w="120" w:type="dxa"/>
              <w:bottom w:w="90" w:type="dxa"/>
              <w:end w:w="120" w:type="dxa"/>
            </w:tcMar>
            <w:vAlign w:val="center"/>
            <w:shd w:fill="F8FAFC"/>
          </w:tcPr>
          <w:p>
            <w:pPr>
              <w:widowControl/>
              <w:spacing w:after="0"/>
            </w:pPr>
            <w:r>
              <w:rPr>
                <w:rFonts w:ascii="Calibri" w:hAnsi="Calibri"/>
                <w:sz w:val="15"/>
              </w:rPr>
              <w:t>Roles, segregation, independence, reporting and decisions remain effective.</w:t>
            </w:r>
          </w:p>
        </w:tc>
        <w:tc>
          <w:tcPr>
            <w:tcW w:type="dxa" w:w="2433"/>
            <w:tcMar>
              <w:top w:w="90" w:type="dxa"/>
              <w:start w:w="120" w:type="dxa"/>
              <w:bottom w:w="90" w:type="dxa"/>
              <w:end w:w="120" w:type="dxa"/>
            </w:tcMar>
            <w:vAlign w:val="center"/>
            <w:shd w:fill="F8FAFC"/>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tcPr>
          <w:p>
            <w:pPr>
              <w:widowControl/>
              <w:spacing w:after="0"/>
            </w:pPr>
            <w:r>
              <w:rPr>
                <w:rFonts w:ascii="Calibri" w:hAnsi="Calibri"/>
                <w:sz w:val="15"/>
              </w:rPr>
              <w:t>Resources</w:t>
            </w:r>
          </w:p>
        </w:tc>
        <w:tc>
          <w:tcPr>
            <w:tcW w:type="dxa" w:w="5500"/>
            <w:tcMar>
              <w:top w:w="90" w:type="dxa"/>
              <w:start w:w="120" w:type="dxa"/>
              <w:bottom w:w="90" w:type="dxa"/>
              <w:end w:w="120" w:type="dxa"/>
            </w:tcMar>
            <w:vAlign w:val="center"/>
          </w:tcPr>
          <w:p>
            <w:pPr>
              <w:widowControl/>
              <w:spacing w:after="0"/>
            </w:pPr>
            <w:r>
              <w:rPr>
                <w:rFonts w:ascii="Calibri" w:hAnsi="Calibri"/>
                <w:sz w:val="15"/>
              </w:rPr>
              <w:t>Annual budget, skills, staffing, providers and training are adequate.</w:t>
            </w:r>
          </w:p>
        </w:tc>
        <w:tc>
          <w:tcPr>
            <w:tcW w:type="dxa" w:w="2433"/>
            <w:tcMar>
              <w:top w:w="90" w:type="dxa"/>
              <w:start w:w="120" w:type="dxa"/>
              <w:bottom w:w="90" w:type="dxa"/>
              <w:end w:w="120" w:type="dxa"/>
            </w:tcMar>
            <w:vAlign w:val="center"/>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shd w:fill="F8FAFC"/>
          </w:tcPr>
          <w:p>
            <w:pPr>
              <w:widowControl/>
              <w:spacing w:after="0"/>
            </w:pPr>
            <w:r>
              <w:rPr>
                <w:rFonts w:ascii="Calibri" w:hAnsi="Calibri"/>
                <w:sz w:val="15"/>
              </w:rPr>
              <w:t>Functions and assets</w:t>
            </w:r>
          </w:p>
        </w:tc>
        <w:tc>
          <w:tcPr>
            <w:tcW w:type="dxa" w:w="5500"/>
            <w:tcMar>
              <w:top w:w="90" w:type="dxa"/>
              <w:start w:w="120" w:type="dxa"/>
              <w:bottom w:w="90" w:type="dxa"/>
              <w:end w:w="120" w:type="dxa"/>
            </w:tcMar>
            <w:vAlign w:val="center"/>
            <w:shd w:fill="F8FAFC"/>
          </w:tcPr>
          <w:p>
            <w:pPr>
              <w:widowControl/>
              <w:spacing w:after="0"/>
            </w:pPr>
            <w:r>
              <w:rPr>
                <w:rFonts w:ascii="Calibri" w:hAnsi="Calibri"/>
                <w:sz w:val="15"/>
              </w:rPr>
              <w:t>D04 is complete, current and reflects interdependencies and third-party support.</w:t>
            </w:r>
          </w:p>
        </w:tc>
        <w:tc>
          <w:tcPr>
            <w:tcW w:type="dxa" w:w="2433"/>
            <w:tcMar>
              <w:top w:w="90" w:type="dxa"/>
              <w:start w:w="120" w:type="dxa"/>
              <w:bottom w:w="90" w:type="dxa"/>
              <w:end w:w="120" w:type="dxa"/>
            </w:tcMar>
            <w:vAlign w:val="center"/>
            <w:shd w:fill="F8FAFC"/>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tcPr>
          <w:p>
            <w:pPr>
              <w:widowControl/>
              <w:spacing w:after="0"/>
            </w:pPr>
            <w:r>
              <w:rPr>
                <w:rFonts w:ascii="Calibri" w:hAnsi="Calibri"/>
                <w:sz w:val="15"/>
              </w:rPr>
              <w:t>Risk assessment</w:t>
            </w:r>
          </w:p>
        </w:tc>
        <w:tc>
          <w:tcPr>
            <w:tcW w:type="dxa" w:w="5500"/>
            <w:tcMar>
              <w:top w:w="90" w:type="dxa"/>
              <w:start w:w="120" w:type="dxa"/>
              <w:bottom w:w="90" w:type="dxa"/>
              <w:end w:w="120" w:type="dxa"/>
            </w:tcMar>
            <w:vAlign w:val="center"/>
          </w:tcPr>
          <w:p>
            <w:pPr>
              <w:widowControl/>
              <w:spacing w:after="0"/>
            </w:pPr>
            <w:r>
              <w:rPr>
                <w:rFonts w:ascii="Calibri" w:hAnsi="Calibri"/>
                <w:sz w:val="15"/>
              </w:rPr>
              <w:t>D03 is current; triggers, threats, vulnerabilities, scenarios and treatments are captured.</w:t>
            </w:r>
          </w:p>
        </w:tc>
        <w:tc>
          <w:tcPr>
            <w:tcW w:type="dxa" w:w="2433"/>
            <w:tcMar>
              <w:top w:w="90" w:type="dxa"/>
              <w:start w:w="120" w:type="dxa"/>
              <w:bottom w:w="90" w:type="dxa"/>
              <w:end w:w="120" w:type="dxa"/>
            </w:tcMar>
            <w:vAlign w:val="center"/>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shd w:fill="F8FAFC"/>
          </w:tcPr>
          <w:p>
            <w:pPr>
              <w:widowControl/>
              <w:spacing w:after="0"/>
            </w:pPr>
            <w:r>
              <w:rPr>
                <w:rFonts w:ascii="Calibri" w:hAnsi="Calibri"/>
                <w:sz w:val="15"/>
              </w:rPr>
              <w:t>Security measures</w:t>
            </w:r>
          </w:p>
        </w:tc>
        <w:tc>
          <w:tcPr>
            <w:tcW w:type="dxa" w:w="5500"/>
            <w:tcMar>
              <w:top w:w="90" w:type="dxa"/>
              <w:start w:w="120" w:type="dxa"/>
              <w:bottom w:w="90" w:type="dxa"/>
              <w:end w:w="120" w:type="dxa"/>
            </w:tcMar>
            <w:vAlign w:val="center"/>
            <w:shd w:fill="F8FAFC"/>
          </w:tcPr>
          <w:p>
            <w:pPr>
              <w:widowControl/>
              <w:spacing w:after="0"/>
            </w:pPr>
            <w:r>
              <w:rPr>
                <w:rFonts w:ascii="Calibri" w:hAnsi="Calibri"/>
                <w:sz w:val="15"/>
              </w:rPr>
              <w:t>D02 controls are implemented and evidenced in D14.</w:t>
            </w:r>
          </w:p>
        </w:tc>
        <w:tc>
          <w:tcPr>
            <w:tcW w:type="dxa" w:w="2433"/>
            <w:tcMar>
              <w:top w:w="90" w:type="dxa"/>
              <w:start w:w="120" w:type="dxa"/>
              <w:bottom w:w="90" w:type="dxa"/>
              <w:end w:w="120" w:type="dxa"/>
            </w:tcMar>
            <w:vAlign w:val="center"/>
            <w:shd w:fill="F8FAFC"/>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tcPr>
          <w:p>
            <w:pPr>
              <w:widowControl/>
              <w:spacing w:after="0"/>
            </w:pPr>
            <w:r>
              <w:rPr>
                <w:rFonts w:ascii="Calibri" w:hAnsi="Calibri"/>
                <w:sz w:val="15"/>
              </w:rPr>
              <w:t>Incidents</w:t>
            </w:r>
          </w:p>
        </w:tc>
        <w:tc>
          <w:tcPr>
            <w:tcW w:type="dxa" w:w="5500"/>
            <w:tcMar>
              <w:top w:w="90" w:type="dxa"/>
              <w:start w:w="120" w:type="dxa"/>
              <w:bottom w:w="90" w:type="dxa"/>
              <w:end w:w="120" w:type="dxa"/>
            </w:tcMar>
            <w:vAlign w:val="center"/>
          </w:tcPr>
          <w:p>
            <w:pPr>
              <w:widowControl/>
              <w:spacing w:after="0"/>
            </w:pPr>
            <w:r>
              <w:rPr>
                <w:rFonts w:ascii="Calibri" w:hAnsi="Calibri"/>
                <w:sz w:val="15"/>
              </w:rPr>
              <w:t>D06/D07 decisions, reporting and lessons learned are complete.</w:t>
            </w:r>
          </w:p>
        </w:tc>
        <w:tc>
          <w:tcPr>
            <w:tcW w:type="dxa" w:w="2433"/>
            <w:tcMar>
              <w:top w:w="90" w:type="dxa"/>
              <w:start w:w="120" w:type="dxa"/>
              <w:bottom w:w="90" w:type="dxa"/>
              <w:end w:w="120" w:type="dxa"/>
            </w:tcMar>
            <w:vAlign w:val="center"/>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shd w:fill="F8FAFC"/>
          </w:tcPr>
          <w:p>
            <w:pPr>
              <w:widowControl/>
              <w:spacing w:after="0"/>
            </w:pPr>
            <w:r>
              <w:rPr>
                <w:rFonts w:ascii="Calibri" w:hAnsi="Calibri"/>
                <w:sz w:val="15"/>
              </w:rPr>
              <w:t>Continuity</w:t>
            </w:r>
          </w:p>
        </w:tc>
        <w:tc>
          <w:tcPr>
            <w:tcW w:type="dxa" w:w="5500"/>
            <w:tcMar>
              <w:top w:w="90" w:type="dxa"/>
              <w:start w:w="120" w:type="dxa"/>
              <w:bottom w:w="90" w:type="dxa"/>
              <w:end w:w="120" w:type="dxa"/>
            </w:tcMar>
            <w:vAlign w:val="center"/>
            <w:shd w:fill="F8FAFC"/>
          </w:tcPr>
          <w:p>
            <w:pPr>
              <w:widowControl/>
              <w:spacing w:after="0"/>
            </w:pPr>
            <w:r>
              <w:rPr>
                <w:rFonts w:ascii="Calibri" w:hAnsi="Calibri"/>
                <w:sz w:val="15"/>
              </w:rPr>
              <w:t>D05 scenarios, RTO/RPO, backup, restoration and provider failure measures remain adequate.</w:t>
            </w:r>
          </w:p>
        </w:tc>
        <w:tc>
          <w:tcPr>
            <w:tcW w:type="dxa" w:w="2433"/>
            <w:tcMar>
              <w:top w:w="90" w:type="dxa"/>
              <w:start w:w="120" w:type="dxa"/>
              <w:bottom w:w="90" w:type="dxa"/>
              <w:end w:w="120" w:type="dxa"/>
            </w:tcMar>
            <w:vAlign w:val="center"/>
            <w:shd w:fill="F8FAFC"/>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tcPr>
          <w:p>
            <w:pPr>
              <w:widowControl/>
              <w:spacing w:after="0"/>
            </w:pPr>
            <w:r>
              <w:rPr>
                <w:rFonts w:ascii="Calibri" w:hAnsi="Calibri"/>
                <w:sz w:val="15"/>
              </w:rPr>
              <w:t>Testing</w:t>
            </w:r>
          </w:p>
        </w:tc>
        <w:tc>
          <w:tcPr>
            <w:tcW w:type="dxa" w:w="5500"/>
            <w:tcMar>
              <w:top w:w="90" w:type="dxa"/>
              <w:start w:w="120" w:type="dxa"/>
              <w:bottom w:w="90" w:type="dxa"/>
              <w:end w:w="120" w:type="dxa"/>
            </w:tcMar>
            <w:vAlign w:val="center"/>
          </w:tcPr>
          <w:p>
            <w:pPr>
              <w:widowControl/>
              <w:spacing w:after="0"/>
            </w:pPr>
            <w:r>
              <w:rPr>
                <w:rFonts w:ascii="Calibri" w:hAnsi="Calibri"/>
                <w:sz w:val="15"/>
              </w:rPr>
              <w:t>D08 is risk-based; deficiencies are analysed, addressed and retested.</w:t>
            </w:r>
          </w:p>
        </w:tc>
        <w:tc>
          <w:tcPr>
            <w:tcW w:type="dxa" w:w="2433"/>
            <w:tcMar>
              <w:top w:w="90" w:type="dxa"/>
              <w:start w:w="120" w:type="dxa"/>
              <w:bottom w:w="90" w:type="dxa"/>
              <w:end w:w="120" w:type="dxa"/>
            </w:tcMar>
            <w:vAlign w:val="center"/>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shd w:fill="F8FAFC"/>
          </w:tcPr>
          <w:p>
            <w:pPr>
              <w:widowControl/>
              <w:spacing w:after="0"/>
            </w:pPr>
            <w:r>
              <w:rPr>
                <w:rFonts w:ascii="Calibri" w:hAnsi="Calibri"/>
                <w:sz w:val="15"/>
              </w:rPr>
              <w:t>Third parties</w:t>
            </w:r>
          </w:p>
        </w:tc>
        <w:tc>
          <w:tcPr>
            <w:tcW w:type="dxa" w:w="5500"/>
            <w:tcMar>
              <w:top w:w="90" w:type="dxa"/>
              <w:start w:w="120" w:type="dxa"/>
              <w:bottom w:w="90" w:type="dxa"/>
              <w:end w:w="120" w:type="dxa"/>
            </w:tcMar>
            <w:vAlign w:val="center"/>
            <w:shd w:fill="F8FAFC"/>
          </w:tcPr>
          <w:p>
            <w:pPr>
              <w:widowControl/>
              <w:spacing w:after="0"/>
            </w:pPr>
            <w:r>
              <w:rPr>
                <w:rFonts w:ascii="Calibri" w:hAnsi="Calibri"/>
                <w:sz w:val="15"/>
              </w:rPr>
              <w:t>D09–D11 cover arrangements, contracts, subcontracting, concentration and exit.</w:t>
            </w:r>
          </w:p>
        </w:tc>
        <w:tc>
          <w:tcPr>
            <w:tcW w:type="dxa" w:w="2433"/>
            <w:tcMar>
              <w:top w:w="90" w:type="dxa"/>
              <w:start w:w="120" w:type="dxa"/>
              <w:bottom w:w="90" w:type="dxa"/>
              <w:end w:w="120" w:type="dxa"/>
            </w:tcMar>
            <w:vAlign w:val="center"/>
            <w:shd w:fill="F8FAFC"/>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tcPr>
          <w:p>
            <w:pPr>
              <w:widowControl/>
              <w:spacing w:after="0"/>
            </w:pPr>
            <w:r>
              <w:rPr>
                <w:rFonts w:ascii="Calibri" w:hAnsi="Calibri"/>
                <w:sz w:val="15"/>
              </w:rPr>
              <w:t>Assurance</w:t>
            </w:r>
          </w:p>
        </w:tc>
        <w:tc>
          <w:tcPr>
            <w:tcW w:type="dxa" w:w="5500"/>
            <w:tcMar>
              <w:top w:w="90" w:type="dxa"/>
              <w:start w:w="120" w:type="dxa"/>
              <w:bottom w:w="90" w:type="dxa"/>
              <w:end w:w="120" w:type="dxa"/>
            </w:tcMar>
            <w:vAlign w:val="center"/>
          </w:tcPr>
          <w:p>
            <w:pPr>
              <w:widowControl/>
              <w:spacing w:after="0"/>
            </w:pPr>
            <w:r>
              <w:rPr>
                <w:rFonts w:ascii="Calibri" w:hAnsi="Calibri"/>
                <w:sz w:val="15"/>
              </w:rPr>
              <w:t>Audit and monitoring are independent, risk-based and sufficiently skilled.</w:t>
            </w:r>
          </w:p>
        </w:tc>
        <w:tc>
          <w:tcPr>
            <w:tcW w:type="dxa" w:w="2433"/>
            <w:tcMar>
              <w:top w:w="90" w:type="dxa"/>
              <w:start w:w="120" w:type="dxa"/>
              <w:bottom w:w="90" w:type="dxa"/>
              <w:end w:w="120" w:type="dxa"/>
            </w:tcMar>
            <w:vAlign w:val="center"/>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shd w:fill="F8FAFC"/>
          </w:tcPr>
          <w:p>
            <w:pPr>
              <w:widowControl/>
              <w:spacing w:after="0"/>
            </w:pPr>
            <w:r>
              <w:rPr>
                <w:rFonts w:ascii="Calibri" w:hAnsi="Calibri"/>
                <w:sz w:val="15"/>
              </w:rPr>
              <w:t>Remediation</w:t>
            </w:r>
          </w:p>
        </w:tc>
        <w:tc>
          <w:tcPr>
            <w:tcW w:type="dxa" w:w="5500"/>
            <w:tcMar>
              <w:top w:w="90" w:type="dxa"/>
              <w:start w:w="120" w:type="dxa"/>
              <w:bottom w:w="90" w:type="dxa"/>
              <w:end w:w="120" w:type="dxa"/>
            </w:tcMar>
            <w:vAlign w:val="center"/>
            <w:shd w:fill="F8FAFC"/>
          </w:tcPr>
          <w:p>
            <w:pPr>
              <w:widowControl/>
              <w:spacing w:after="0"/>
            </w:pPr>
            <w:r>
              <w:rPr>
                <w:rFonts w:ascii="Calibri" w:hAnsi="Calibri"/>
                <w:sz w:val="15"/>
              </w:rPr>
              <w:t>Critical findings and risks outside tolerance are timely verified and closed.</w:t>
            </w:r>
          </w:p>
        </w:tc>
        <w:tc>
          <w:tcPr>
            <w:tcW w:type="dxa" w:w="2433"/>
            <w:tcMar>
              <w:top w:w="90" w:type="dxa"/>
              <w:start w:w="120" w:type="dxa"/>
              <w:bottom w:w="90" w:type="dxa"/>
              <w:end w:w="120" w:type="dxa"/>
            </w:tcMar>
            <w:vAlign w:val="center"/>
            <w:shd w:fill="F8FAFC"/>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tcPr>
          <w:p>
            <w:pPr>
              <w:widowControl/>
              <w:spacing w:after="0"/>
            </w:pPr>
            <w:r>
              <w:rPr>
                <w:rFonts w:ascii="Calibri" w:hAnsi="Calibri"/>
                <w:sz w:val="15"/>
              </w:rPr>
              <w:t>Change impact</w:t>
            </w:r>
          </w:p>
        </w:tc>
        <w:tc>
          <w:tcPr>
            <w:tcW w:type="dxa" w:w="5500"/>
            <w:tcMar>
              <w:top w:w="90" w:type="dxa"/>
              <w:start w:w="120" w:type="dxa"/>
              <w:bottom w:w="90" w:type="dxa"/>
              <w:end w:w="120" w:type="dxa"/>
            </w:tcMar>
            <w:vAlign w:val="center"/>
          </w:tcPr>
          <w:p>
            <w:pPr>
              <w:widowControl/>
              <w:spacing w:after="0"/>
            </w:pPr>
            <w:r>
              <w:rPr>
                <w:rFonts w:ascii="Calibri" w:hAnsi="Calibri"/>
                <w:sz w:val="15"/>
              </w:rPr>
              <w:t>Major changes and improvements, and their resilience impact, are described.</w:t>
            </w:r>
          </w:p>
        </w:tc>
        <w:tc>
          <w:tcPr>
            <w:tcW w:type="dxa" w:w="2433"/>
            <w:tcMar>
              <w:top w:w="90" w:type="dxa"/>
              <w:start w:w="120" w:type="dxa"/>
              <w:bottom w:w="90" w:type="dxa"/>
              <w:end w:w="120" w:type="dxa"/>
            </w:tcMar>
            <w:vAlign w:val="center"/>
          </w:tcPr>
          <w:p>
            <w:pPr>
              <w:widowControl/>
              <w:spacing w:after="0"/>
            </w:pPr>
            <w:r>
              <w:rPr>
                <w:rFonts w:ascii="Calibri" w:hAnsi="Calibri"/>
                <w:sz w:val="15"/>
              </w:rPr>
              <w:t>[EFFECTIVE / GAP / ACTION]</w:t>
            </w:r>
          </w:p>
        </w:tc>
      </w:tr>
      <w:tr>
        <w:trPr>
          <w:cantSplit/>
        </w:trPr>
        <w:tc>
          <w:tcPr>
            <w:tcW w:type="dxa" w:w="1944"/>
            <w:tcMar>
              <w:top w:w="90" w:type="dxa"/>
              <w:start w:w="120" w:type="dxa"/>
              <w:bottom w:w="90" w:type="dxa"/>
              <w:end w:w="120" w:type="dxa"/>
            </w:tcMar>
            <w:vAlign w:val="center"/>
            <w:shd w:fill="F8FAFC"/>
          </w:tcPr>
          <w:p>
            <w:pPr>
              <w:widowControl/>
              <w:spacing w:after="0"/>
            </w:pPr>
            <w:r>
              <w:rPr>
                <w:rFonts w:ascii="Calibri" w:hAnsi="Calibri"/>
                <w:sz w:val="15"/>
              </w:rPr>
              <w:t>Article 41 report</w:t>
            </w:r>
          </w:p>
        </w:tc>
        <w:tc>
          <w:tcPr>
            <w:tcW w:type="dxa" w:w="5500"/>
            <w:tcMar>
              <w:top w:w="90" w:type="dxa"/>
              <w:start w:w="120" w:type="dxa"/>
              <w:bottom w:w="90" w:type="dxa"/>
              <w:end w:w="120" w:type="dxa"/>
            </w:tcMar>
            <w:vAlign w:val="center"/>
            <w:shd w:fill="F8FAFC"/>
          </w:tcPr>
          <w:p>
            <w:pPr>
              <w:widowControl/>
              <w:spacing w:after="0"/>
            </w:pPr>
            <w:r>
              <w:rPr>
                <w:rFonts w:ascii="Calibri" w:hAnsi="Calibri"/>
                <w:sz w:val="15"/>
              </w:rPr>
              <w:t>D13 report is complete, searchable, approved and available on request.</w:t>
            </w:r>
          </w:p>
        </w:tc>
        <w:tc>
          <w:tcPr>
            <w:tcW w:type="dxa" w:w="2433"/>
            <w:tcMar>
              <w:top w:w="90" w:type="dxa"/>
              <w:start w:w="120" w:type="dxa"/>
              <w:bottom w:w="90" w:type="dxa"/>
              <w:end w:w="120" w:type="dxa"/>
            </w:tcMar>
            <w:vAlign w:val="center"/>
            <w:shd w:fill="F8FAFC"/>
          </w:tcPr>
          <w:p>
            <w:pPr>
              <w:widowControl/>
              <w:spacing w:after="0"/>
            </w:pPr>
            <w:r>
              <w:rPr>
                <w:rFonts w:ascii="Calibri" w:hAnsi="Calibri"/>
                <w:sz w:val="15"/>
              </w:rPr>
              <w:t>[EFFECTIVE / GAP / ACTION]</w:t>
            </w:r>
          </w:p>
        </w:tc>
      </w:tr>
    </w:tbl>
    <w:p>
      <w:pPr>
        <w:widowControl/>
        <w:spacing w:after="0"/>
      </w:pPr>
    </w:p>
    <w:p>
      <w:pPr>
        <w:pStyle w:val="Heading1"/>
        <w:widowControl/>
      </w:pPr>
      <w:r>
        <w:t>Appendix E — Legal reference map</w:t>
      </w:r>
    </w:p>
    <w:tbl>
      <w:tblPr>
        <w:tblStyle w:val="TableGrid"/>
        <w:tblW w:type="auto" w:w="0"/>
        <w:jc w:val="center"/>
        <w:tblLayout w:type="fixed"/>
        <w:tblLook w:firstColumn="1" w:firstRow="1" w:lastColumn="0" w:lastRow="0" w:noHBand="0" w:noVBand="1" w:val="04A0"/>
      </w:tblPr>
      <w:tblGrid>
        <w:gridCol w:w="5400"/>
        <w:gridCol w:w="4478"/>
      </w:tblGrid>
      <w:tr>
        <w:trPr>
          <w:tblHeader w:val="true"/>
        </w:trPr>
        <w:tc>
          <w:tcPr>
            <w:tcW w:type="dxa" w:w="5400"/>
            <w:shd w:fill="17365D"/>
            <w:tcMar>
              <w:top w:w="90" w:type="dxa"/>
              <w:start w:w="120" w:type="dxa"/>
              <w:bottom w:w="90" w:type="dxa"/>
              <w:end w:w="120" w:type="dxa"/>
            </w:tcMar>
            <w:vAlign w:val="center"/>
          </w:tcPr>
          <w:p>
            <w:pPr>
              <w:widowControl/>
              <w:jc w:val="left"/>
            </w:pPr>
            <w:r>
              <w:rPr>
                <w:rFonts w:ascii="Calibri" w:hAnsi="Calibri"/>
                <w:b/>
                <w:color w:val="FFFFFF"/>
                <w:sz w:val="16"/>
              </w:rPr>
              <w:t>Framework subject</w:t>
            </w:r>
          </w:p>
        </w:tc>
        <w:tc>
          <w:tcPr>
            <w:tcW w:type="dxa" w:w="4478"/>
            <w:shd w:fill="17365D"/>
            <w:tcMar>
              <w:top w:w="90" w:type="dxa"/>
              <w:start w:w="120" w:type="dxa"/>
              <w:bottom w:w="90" w:type="dxa"/>
              <w:end w:w="120" w:type="dxa"/>
            </w:tcMar>
            <w:vAlign w:val="center"/>
          </w:tcPr>
          <w:p>
            <w:pPr>
              <w:widowControl/>
              <w:jc w:val="left"/>
            </w:pPr>
            <w:r>
              <w:rPr>
                <w:rFonts w:ascii="Calibri" w:hAnsi="Calibri"/>
                <w:b/>
                <w:color w:val="FFFFFF"/>
                <w:sz w:val="16"/>
              </w:rPr>
              <w:t>Principal reference</w:t>
            </w:r>
          </w:p>
        </w:tc>
      </w:tr>
      <w:tr>
        <w:trPr>
          <w:cantSplit/>
        </w:trPr>
        <w:tc>
          <w:tcPr>
            <w:tcW w:type="dxa" w:w="5400"/>
            <w:tcMar>
              <w:top w:w="90" w:type="dxa"/>
              <w:start w:w="120" w:type="dxa"/>
              <w:bottom w:w="90" w:type="dxa"/>
              <w:end w:w="120" w:type="dxa"/>
            </w:tcMar>
            <w:vAlign w:val="center"/>
          </w:tcPr>
          <w:p>
            <w:pPr>
              <w:widowControl/>
              <w:spacing w:after="0"/>
            </w:pPr>
            <w:r>
              <w:rPr>
                <w:rFonts w:ascii="Calibri" w:hAnsi="Calibri"/>
                <w:sz w:val="16"/>
              </w:rPr>
              <w:t>Simplified framework and review</w:t>
            </w:r>
          </w:p>
        </w:tc>
        <w:tc>
          <w:tcPr>
            <w:tcW w:type="dxa" w:w="4478"/>
            <w:tcMar>
              <w:top w:w="90" w:type="dxa"/>
              <w:start w:w="120" w:type="dxa"/>
              <w:bottom w:w="90" w:type="dxa"/>
              <w:end w:w="120" w:type="dxa"/>
            </w:tcMar>
            <w:vAlign w:val="center"/>
          </w:tcPr>
          <w:p>
            <w:pPr>
              <w:widowControl/>
              <w:spacing w:after="0"/>
            </w:pPr>
            <w:r>
              <w:rPr>
                <w:rFonts w:ascii="Calibri" w:hAnsi="Calibri"/>
                <w:sz w:val="16"/>
              </w:rPr>
              <w:t>DORA Article 16(1)–(2)</w:t>
            </w:r>
          </w:p>
        </w:tc>
      </w:tr>
      <w:tr>
        <w:trPr>
          <w:cantSplit/>
        </w:trPr>
        <w:tc>
          <w:tcPr>
            <w:tcW w:type="dxa" w:w="5400"/>
            <w:tcMar>
              <w:top w:w="90" w:type="dxa"/>
              <w:start w:w="120" w:type="dxa"/>
              <w:bottom w:w="90" w:type="dxa"/>
              <w:end w:w="120" w:type="dxa"/>
            </w:tcMar>
            <w:vAlign w:val="center"/>
            <w:shd w:fill="F8FAFC"/>
          </w:tcPr>
          <w:p>
            <w:pPr>
              <w:widowControl/>
              <w:spacing w:after="0"/>
            </w:pPr>
            <w:r>
              <w:rPr>
                <w:rFonts w:ascii="Calibri" w:hAnsi="Calibri"/>
                <w:sz w:val="16"/>
              </w:rPr>
              <w:t>Governance, responsibilities, budget, reporting and audit</w:t>
            </w:r>
          </w:p>
        </w:tc>
        <w:tc>
          <w:tcPr>
            <w:tcW w:type="dxa" w:w="4478"/>
            <w:tcMar>
              <w:top w:w="90" w:type="dxa"/>
              <w:start w:w="120" w:type="dxa"/>
              <w:bottom w:w="90" w:type="dxa"/>
              <w:end w:w="120" w:type="dxa"/>
            </w:tcMar>
            <w:vAlign w:val="center"/>
            <w:shd w:fill="F8FAFC"/>
          </w:tcPr>
          <w:p>
            <w:pPr>
              <w:widowControl/>
              <w:spacing w:after="0"/>
            </w:pPr>
            <w:r>
              <w:rPr>
                <w:rFonts w:ascii="Calibri" w:hAnsi="Calibri"/>
                <w:sz w:val="16"/>
              </w:rPr>
              <w:t>Delegated Regulation 2024/1774, Article 28</w:t>
            </w:r>
          </w:p>
        </w:tc>
      </w:tr>
      <w:tr>
        <w:trPr>
          <w:cantSplit/>
        </w:trPr>
        <w:tc>
          <w:tcPr>
            <w:tcW w:type="dxa" w:w="5400"/>
            <w:tcMar>
              <w:top w:w="90" w:type="dxa"/>
              <w:start w:w="120" w:type="dxa"/>
              <w:bottom w:w="90" w:type="dxa"/>
              <w:end w:w="120" w:type="dxa"/>
            </w:tcMar>
            <w:vAlign w:val="center"/>
          </w:tcPr>
          <w:p>
            <w:pPr>
              <w:widowControl/>
              <w:spacing w:after="0"/>
            </w:pPr>
            <w:r>
              <w:rPr>
                <w:rFonts w:ascii="Calibri" w:hAnsi="Calibri"/>
                <w:sz w:val="16"/>
              </w:rPr>
              <w:t>Information-security policy and security measures</w:t>
            </w:r>
          </w:p>
        </w:tc>
        <w:tc>
          <w:tcPr>
            <w:tcW w:type="dxa" w:w="4478"/>
            <w:tcMar>
              <w:top w:w="90" w:type="dxa"/>
              <w:start w:w="120" w:type="dxa"/>
              <w:bottom w:w="90" w:type="dxa"/>
              <w:end w:w="120" w:type="dxa"/>
            </w:tcMar>
            <w:vAlign w:val="center"/>
          </w:tcPr>
          <w:p>
            <w:pPr>
              <w:widowControl/>
              <w:spacing w:after="0"/>
            </w:pPr>
            <w:r>
              <w:rPr>
                <w:rFonts w:ascii="Calibri" w:hAnsi="Calibri"/>
                <w:sz w:val="16"/>
              </w:rPr>
              <w:t>Delegated Regulation 2024/1774, Article 29</w:t>
            </w:r>
          </w:p>
        </w:tc>
      </w:tr>
      <w:tr>
        <w:trPr>
          <w:cantSplit/>
        </w:trPr>
        <w:tc>
          <w:tcPr>
            <w:tcW w:type="dxa" w:w="5400"/>
            <w:tcMar>
              <w:top w:w="90" w:type="dxa"/>
              <w:start w:w="120" w:type="dxa"/>
              <w:bottom w:w="90" w:type="dxa"/>
              <w:end w:w="120" w:type="dxa"/>
            </w:tcMar>
            <w:vAlign w:val="center"/>
            <w:shd w:fill="F8FAFC"/>
          </w:tcPr>
          <w:p>
            <w:pPr>
              <w:widowControl/>
              <w:spacing w:after="0"/>
            </w:pPr>
            <w:r>
              <w:rPr>
                <w:rFonts w:ascii="Calibri" w:hAnsi="Calibri"/>
                <w:sz w:val="16"/>
              </w:rPr>
              <w:t>Function, asset and dependency classification</w:t>
            </w:r>
          </w:p>
        </w:tc>
        <w:tc>
          <w:tcPr>
            <w:tcW w:type="dxa" w:w="4478"/>
            <w:tcMar>
              <w:top w:w="90" w:type="dxa"/>
              <w:start w:w="120" w:type="dxa"/>
              <w:bottom w:w="90" w:type="dxa"/>
              <w:end w:w="120" w:type="dxa"/>
            </w:tcMar>
            <w:vAlign w:val="center"/>
            <w:shd w:fill="F8FAFC"/>
          </w:tcPr>
          <w:p>
            <w:pPr>
              <w:widowControl/>
              <w:spacing w:after="0"/>
            </w:pPr>
            <w:r>
              <w:rPr>
                <w:rFonts w:ascii="Calibri" w:hAnsi="Calibri"/>
                <w:sz w:val="16"/>
              </w:rPr>
              <w:t>Delegated Regulation 2024/1774, Article 30</w:t>
            </w:r>
          </w:p>
        </w:tc>
      </w:tr>
      <w:tr>
        <w:trPr>
          <w:cantSplit/>
        </w:trPr>
        <w:tc>
          <w:tcPr>
            <w:tcW w:type="dxa" w:w="5400"/>
            <w:tcMar>
              <w:top w:w="90" w:type="dxa"/>
              <w:start w:w="120" w:type="dxa"/>
              <w:bottom w:w="90" w:type="dxa"/>
              <w:end w:w="120" w:type="dxa"/>
            </w:tcMar>
            <w:vAlign w:val="center"/>
          </w:tcPr>
          <w:p>
            <w:pPr>
              <w:widowControl/>
              <w:spacing w:after="0"/>
            </w:pPr>
            <w:r>
              <w:rPr>
                <w:rFonts w:ascii="Calibri" w:hAnsi="Calibri"/>
                <w:sz w:val="16"/>
              </w:rPr>
              <w:t>Risk tolerance, assessment, treatment, monitoring and alert thresholds</w:t>
            </w:r>
          </w:p>
        </w:tc>
        <w:tc>
          <w:tcPr>
            <w:tcW w:type="dxa" w:w="4478"/>
            <w:tcMar>
              <w:top w:w="90" w:type="dxa"/>
              <w:start w:w="120" w:type="dxa"/>
              <w:bottom w:w="90" w:type="dxa"/>
              <w:end w:w="120" w:type="dxa"/>
            </w:tcMar>
            <w:vAlign w:val="center"/>
          </w:tcPr>
          <w:p>
            <w:pPr>
              <w:widowControl/>
              <w:spacing w:after="0"/>
            </w:pPr>
            <w:r>
              <w:rPr>
                <w:rFonts w:ascii="Calibri" w:hAnsi="Calibri"/>
                <w:sz w:val="16"/>
              </w:rPr>
              <w:t>Delegated Regulation 2024/1774, Article 31</w:t>
            </w:r>
          </w:p>
        </w:tc>
      </w:tr>
      <w:tr>
        <w:trPr>
          <w:cantSplit/>
        </w:trPr>
        <w:tc>
          <w:tcPr>
            <w:tcW w:type="dxa" w:w="5400"/>
            <w:tcMar>
              <w:top w:w="90" w:type="dxa"/>
              <w:start w:w="120" w:type="dxa"/>
              <w:bottom w:w="90" w:type="dxa"/>
              <w:end w:w="120" w:type="dxa"/>
            </w:tcMar>
            <w:vAlign w:val="center"/>
            <w:shd w:fill="F8FAFC"/>
          </w:tcPr>
          <w:p>
            <w:pPr>
              <w:widowControl/>
              <w:spacing w:after="0"/>
            </w:pPr>
            <w:r>
              <w:rPr>
                <w:rFonts w:ascii="Calibri" w:hAnsi="Calibri"/>
                <w:sz w:val="16"/>
              </w:rPr>
              <w:t>Physical security, access, operations, systems, testing, acquisition and change</w:t>
            </w:r>
          </w:p>
        </w:tc>
        <w:tc>
          <w:tcPr>
            <w:tcW w:type="dxa" w:w="4478"/>
            <w:tcMar>
              <w:top w:w="90" w:type="dxa"/>
              <w:start w:w="120" w:type="dxa"/>
              <w:bottom w:w="90" w:type="dxa"/>
              <w:end w:w="120" w:type="dxa"/>
            </w:tcMar>
            <w:vAlign w:val="center"/>
            <w:shd w:fill="F8FAFC"/>
          </w:tcPr>
          <w:p>
            <w:pPr>
              <w:widowControl/>
              <w:spacing w:after="0"/>
            </w:pPr>
            <w:r>
              <w:rPr>
                <w:rFonts w:ascii="Calibri" w:hAnsi="Calibri"/>
                <w:sz w:val="16"/>
              </w:rPr>
              <w:t>Delegated Regulation 2024/1774, Articles 32–38</w:t>
            </w:r>
          </w:p>
        </w:tc>
      </w:tr>
      <w:tr>
        <w:trPr>
          <w:cantSplit/>
        </w:trPr>
        <w:tc>
          <w:tcPr>
            <w:tcW w:type="dxa" w:w="5400"/>
            <w:tcMar>
              <w:top w:w="90" w:type="dxa"/>
              <w:start w:w="120" w:type="dxa"/>
              <w:bottom w:w="90" w:type="dxa"/>
              <w:end w:w="120" w:type="dxa"/>
            </w:tcMar>
            <w:vAlign w:val="center"/>
          </w:tcPr>
          <w:p>
            <w:pPr>
              <w:widowControl/>
              <w:spacing w:after="0"/>
            </w:pPr>
            <w:r>
              <w:rPr>
                <w:rFonts w:ascii="Calibri" w:hAnsi="Calibri"/>
                <w:sz w:val="16"/>
              </w:rPr>
              <w:t>ICT business continuity and testing</w:t>
            </w:r>
          </w:p>
        </w:tc>
        <w:tc>
          <w:tcPr>
            <w:tcW w:type="dxa" w:w="4478"/>
            <w:tcMar>
              <w:top w:w="90" w:type="dxa"/>
              <w:start w:w="120" w:type="dxa"/>
              <w:bottom w:w="90" w:type="dxa"/>
              <w:end w:w="120" w:type="dxa"/>
            </w:tcMar>
            <w:vAlign w:val="center"/>
          </w:tcPr>
          <w:p>
            <w:pPr>
              <w:widowControl/>
              <w:spacing w:after="0"/>
            </w:pPr>
            <w:r>
              <w:rPr>
                <w:rFonts w:ascii="Calibri" w:hAnsi="Calibri"/>
                <w:sz w:val="16"/>
              </w:rPr>
              <w:t>Delegated Regulation 2024/1774, Articles 39–40</w:t>
            </w:r>
          </w:p>
        </w:tc>
      </w:tr>
      <w:tr>
        <w:trPr>
          <w:cantSplit/>
        </w:trPr>
        <w:tc>
          <w:tcPr>
            <w:tcW w:type="dxa" w:w="5400"/>
            <w:tcMar>
              <w:top w:w="90" w:type="dxa"/>
              <w:start w:w="120" w:type="dxa"/>
              <w:bottom w:w="90" w:type="dxa"/>
              <w:end w:w="120" w:type="dxa"/>
            </w:tcMar>
            <w:vAlign w:val="center"/>
            <w:shd w:fill="F8FAFC"/>
          </w:tcPr>
          <w:p>
            <w:pPr>
              <w:widowControl/>
              <w:spacing w:after="0"/>
            </w:pPr>
            <w:r>
              <w:rPr>
                <w:rFonts w:ascii="Calibri" w:hAnsi="Calibri"/>
                <w:sz w:val="16"/>
              </w:rPr>
              <w:t>Framework review report</w:t>
            </w:r>
          </w:p>
        </w:tc>
        <w:tc>
          <w:tcPr>
            <w:tcW w:type="dxa" w:w="4478"/>
            <w:tcMar>
              <w:top w:w="90" w:type="dxa"/>
              <w:start w:w="120" w:type="dxa"/>
              <w:bottom w:w="90" w:type="dxa"/>
              <w:end w:w="120" w:type="dxa"/>
            </w:tcMar>
            <w:vAlign w:val="center"/>
            <w:shd w:fill="F8FAFC"/>
          </w:tcPr>
          <w:p>
            <w:pPr>
              <w:widowControl/>
              <w:spacing w:after="0"/>
            </w:pPr>
            <w:r>
              <w:rPr>
                <w:rFonts w:ascii="Calibri" w:hAnsi="Calibri"/>
                <w:sz w:val="16"/>
              </w:rPr>
              <w:t>Delegated Regulation 2024/1774, Article 41</w:t>
            </w:r>
          </w:p>
        </w:tc>
      </w:tr>
      <w:tr>
        <w:trPr>
          <w:cantSplit/>
        </w:trPr>
        <w:tc>
          <w:tcPr>
            <w:tcW w:type="dxa" w:w="5400"/>
            <w:tcMar>
              <w:top w:w="90" w:type="dxa"/>
              <w:start w:w="120" w:type="dxa"/>
              <w:bottom w:w="90" w:type="dxa"/>
              <w:end w:w="120" w:type="dxa"/>
            </w:tcMar>
            <w:vAlign w:val="center"/>
          </w:tcPr>
          <w:p>
            <w:pPr>
              <w:widowControl/>
              <w:spacing w:after="0"/>
            </w:pPr>
            <w:r>
              <w:rPr>
                <w:rFonts w:ascii="Calibri" w:hAnsi="Calibri"/>
                <w:sz w:val="16"/>
              </w:rPr>
              <w:t>Incident management and reporting</w:t>
            </w:r>
          </w:p>
        </w:tc>
        <w:tc>
          <w:tcPr>
            <w:tcW w:type="dxa" w:w="4478"/>
            <w:tcMar>
              <w:top w:w="90" w:type="dxa"/>
              <w:start w:w="120" w:type="dxa"/>
              <w:bottom w:w="90" w:type="dxa"/>
              <w:end w:w="120" w:type="dxa"/>
            </w:tcMar>
            <w:vAlign w:val="center"/>
          </w:tcPr>
          <w:p>
            <w:pPr>
              <w:widowControl/>
              <w:spacing w:after="0"/>
            </w:pPr>
            <w:r>
              <w:rPr>
                <w:rFonts w:ascii="Calibri" w:hAnsi="Calibri"/>
                <w:sz w:val="16"/>
              </w:rPr>
              <w:t>DORA Articles 17–23 and applicable Level 2 measures</w:t>
            </w:r>
          </w:p>
        </w:tc>
      </w:tr>
      <w:tr>
        <w:trPr>
          <w:cantSplit/>
        </w:trPr>
        <w:tc>
          <w:tcPr>
            <w:tcW w:type="dxa" w:w="5400"/>
            <w:tcMar>
              <w:top w:w="90" w:type="dxa"/>
              <w:start w:w="120" w:type="dxa"/>
              <w:bottom w:w="90" w:type="dxa"/>
              <w:end w:w="120" w:type="dxa"/>
            </w:tcMar>
            <w:vAlign w:val="center"/>
            <w:shd w:fill="F8FAFC"/>
          </w:tcPr>
          <w:p>
            <w:pPr>
              <w:widowControl/>
              <w:spacing w:after="0"/>
            </w:pPr>
            <w:r>
              <w:rPr>
                <w:rFonts w:ascii="Calibri" w:hAnsi="Calibri"/>
                <w:sz w:val="16"/>
              </w:rPr>
              <w:t>Digital operational resilience testing</w:t>
            </w:r>
          </w:p>
        </w:tc>
        <w:tc>
          <w:tcPr>
            <w:tcW w:type="dxa" w:w="4478"/>
            <w:tcMar>
              <w:top w:w="90" w:type="dxa"/>
              <w:start w:w="120" w:type="dxa"/>
              <w:bottom w:w="90" w:type="dxa"/>
              <w:end w:w="120" w:type="dxa"/>
            </w:tcMar>
            <w:vAlign w:val="center"/>
            <w:shd w:fill="F8FAFC"/>
          </w:tcPr>
          <w:p>
            <w:pPr>
              <w:widowControl/>
              <w:spacing w:after="0"/>
            </w:pPr>
            <w:r>
              <w:rPr>
                <w:rFonts w:ascii="Calibri" w:hAnsi="Calibri"/>
                <w:sz w:val="16"/>
              </w:rPr>
              <w:t>DORA Articles 24–25 and applicable Level 2 measures</w:t>
            </w:r>
          </w:p>
        </w:tc>
      </w:tr>
      <w:tr>
        <w:trPr>
          <w:cantSplit/>
        </w:trPr>
        <w:tc>
          <w:tcPr>
            <w:tcW w:type="dxa" w:w="5400"/>
            <w:tcMar>
              <w:top w:w="90" w:type="dxa"/>
              <w:start w:w="120" w:type="dxa"/>
              <w:bottom w:w="90" w:type="dxa"/>
              <w:end w:w="120" w:type="dxa"/>
            </w:tcMar>
            <w:vAlign w:val="center"/>
          </w:tcPr>
          <w:p>
            <w:pPr>
              <w:widowControl/>
              <w:spacing w:after="0"/>
            </w:pPr>
            <w:r>
              <w:rPr>
                <w:rFonts w:ascii="Calibri" w:hAnsi="Calibri"/>
                <w:sz w:val="16"/>
              </w:rPr>
              <w:t>ICT third-party risk</w:t>
            </w:r>
          </w:p>
        </w:tc>
        <w:tc>
          <w:tcPr>
            <w:tcW w:type="dxa" w:w="4478"/>
            <w:tcMar>
              <w:top w:w="90" w:type="dxa"/>
              <w:start w:w="120" w:type="dxa"/>
              <w:bottom w:w="90" w:type="dxa"/>
              <w:end w:w="120" w:type="dxa"/>
            </w:tcMar>
            <w:vAlign w:val="center"/>
          </w:tcPr>
          <w:p>
            <w:pPr>
              <w:widowControl/>
              <w:spacing w:after="0"/>
            </w:pPr>
            <w:r>
              <w:rPr>
                <w:rFonts w:ascii="Calibri" w:hAnsi="Calibri"/>
                <w:sz w:val="16"/>
              </w:rPr>
              <w:t>DORA Articles 28–30 and applicable Level 2 measures</w:t>
            </w:r>
          </w:p>
        </w:tc>
      </w:tr>
    </w:tbl>
    <w:p>
      <w:pPr>
        <w:widowControl/>
        <w:spacing w:after="0"/>
      </w:pPr>
    </w:p>
    <w:p>
      <w:pPr>
        <w:pStyle w:val="Heading2"/>
        <w:widowControl/>
      </w:pPr>
      <w:r>
        <w:t>Official sources</w:t>
      </w:r>
    </w:p>
    <w:p>
      <w:pPr>
        <w:widowControl/>
      </w:pPr>
      <w:hyperlink r:id="rId11">
        <w:r>
          <w:rPr>
            <w:color w:val="2E74B5"/>
            <w:u w:val="single"/>
          </w:rPr>
          <w:t>Regulation (EU) 2022/2554 (DORA) — EUR-Lex</w:t>
        </w:r>
      </w:hyperlink>
    </w:p>
    <w:p>
      <w:pPr>
        <w:widowControl/>
      </w:pPr>
      <w:hyperlink r:id="rId12">
        <w:r>
          <w:rPr>
            <w:color w:val="2E74B5"/>
            <w:u w:val="single"/>
          </w:rPr>
          <w:t>Commission Delegated Regulation (EU) 2024/1774 — EUR-Lex</w:t>
        </w:r>
      </w:hyperlink>
    </w:p>
    <w:p>
      <w:pPr>
        <w:widowControl/>
      </w:pPr>
      <w:hyperlink r:id="rId13">
        <w:r>
          <w:rPr>
            <w:color w:val="2E74B5"/>
            <w:u w:val="single"/>
          </w:rPr>
          <w:t>Central Bank of Iceland — DORA supervisory information</w:t>
        </w:r>
      </w:hyperlink>
    </w:p>
    <w:tbl>
      <w:tblPr>
        <w:tblW w:type="auto" w:w="0"/>
        <w:jc w:val="center"/>
        <w:tblLayout w:type="fixed"/>
        <w:tblLook w:firstColumn="1" w:firstRow="1" w:lastColumn="0" w:lastRow="0" w:noHBand="0" w:noVBand="1" w:val="04A0"/>
      </w:tblPr>
      <w:tblGrid>
        <w:gridCol w:w="172"/>
        <w:gridCol w:w="9705"/>
      </w:tblGrid>
      <w:tr>
        <w:tc>
          <w:tcPr>
            <w:tcW w:type="dxa" w:w="172"/>
            <w:shd w:fill="26734D"/>
            <w:tcMar>
              <w:top w:w="0" w:type="dxa"/>
              <w:start w:w="0" w:type="dxa"/>
              <w:bottom w:w="0" w:type="dxa"/>
              <w:end w:w="0" w:type="dxa"/>
            </w:tcMar>
            <w:tcBorders>
              <w:top w:val="nil"/>
              <w:left w:val="nil"/>
              <w:bottom w:val="nil"/>
              <w:right w:val="nil"/>
            </w:tcBorders>
            <w:vAlign w:val="center"/>
          </w:tcPr>
          <w:p>
            <w:pPr>
              <w:widowControl/>
            </w:pPr>
          </w:p>
        </w:tc>
        <w:tc>
          <w:tcPr>
            <w:tcW w:type="dxa" w:w="9705"/>
            <w:shd w:fill="EEF7F4"/>
            <w:tcMar>
              <w:top w:w="120" w:type="dxa"/>
              <w:start w:w="150" w:type="dxa"/>
              <w:bottom w:w="120" w:type="dxa"/>
              <w:end w:w="150" w:type="dxa"/>
            </w:tcMar>
            <w:tcBorders>
              <w:top w:val="nil"/>
              <w:left w:val="nil"/>
              <w:bottom w:val="nil"/>
              <w:right w:val="nil"/>
            </w:tcBorders>
            <w:vAlign w:val="center"/>
          </w:tcPr>
          <w:p>
            <w:pPr>
              <w:widowControl/>
            </w:pPr>
            <w:r>
              <w:rPr>
                <w:rFonts w:ascii="Calibri" w:hAnsi="Calibri"/>
                <w:b/>
                <w:color w:val="26734D"/>
                <w:sz w:val="18"/>
              </w:rPr>
              <w:t>END OF CONTROLLED TEMPLATE</w:t>
            </w:r>
            <w:r>
              <w:rPr>
                <w:rFonts w:ascii="Calibri" w:hAnsi="Calibri"/>
              </w:rPr>
              <w:br/>
              <w:t>Before approval: complete all bracketed fields; remove drafting notes and highlighting; confirm legal references and Icelandic implementation; reconcile D02–D14; insert the actual management-body decision; and run a final legal, operational and technical review.</w:t>
            </w:r>
          </w:p>
        </w:tc>
      </w:tr>
    </w:tbl>
    <w:p>
      <w:pPr>
        <w:widowControl/>
      </w:pPr>
      <w:r>
        <w:br w:type="page"/>
      </w:r>
    </w:p>
    <w:p>
      <w:pPr>
        <w:pStyle w:val="Heading1"/>
        <w:widowControl/>
      </w:pPr>
      <w:r>
        <w:t>Appendix F — Requirements addressed by D01</w:t>
      </w:r>
    </w:p>
    <w:p>
      <w:pPr>
        <w:widowControl/>
      </w:pPr>
      <w:r>
        <w:t>This schedule is generated from the suite’s controlling traceability dataset. Primary and supporting mappings must be reconciled whenever this document changes. 62 requirement records are associated with D01.</w:t>
      </w:r>
    </w:p>
    <w:tbl>
      <w:tblPr>
        <w:tblStyle w:val="TableGrid"/>
        <w:tblW w:type="auto" w:w="0"/>
        <w:jc w:val="center"/>
        <w:tblLayout w:type="fixed"/>
        <w:tblLook w:firstColumn="1" w:firstRow="1" w:lastColumn="0" w:lastRow="0" w:noHBand="0" w:noVBand="1" w:val="04A0"/>
      </w:tblPr>
      <w:tblGrid>
        <w:gridCol w:w="1512"/>
        <w:gridCol w:w="1800"/>
        <w:gridCol w:w="1584"/>
        <w:gridCol w:w="2232"/>
        <w:gridCol w:w="2750"/>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3"/>
              </w:rPr>
              <w:t>ID</w:t>
            </w:r>
          </w:p>
        </w:tc>
        <w:tc>
          <w:tcPr>
            <w:tcW w:type="dxa" w:w="1800"/>
            <w:shd w:fill="17365D"/>
            <w:tcMar>
              <w:top w:w="80" w:type="dxa"/>
              <w:start w:w="110" w:type="dxa"/>
              <w:bottom w:w="80" w:type="dxa"/>
              <w:end w:w="110" w:type="dxa"/>
            </w:tcMar>
            <w:vAlign w:val="center"/>
          </w:tcPr>
          <w:p>
            <w:pPr>
              <w:widowControl/>
            </w:pPr>
            <w:r>
              <w:rPr>
                <w:rFonts w:ascii="Calibri" w:hAnsi="Calibri"/>
                <w:b/>
                <w:color w:val="FFFFFF"/>
                <w:sz w:val="13"/>
              </w:rPr>
              <w:t>Reference</w:t>
            </w:r>
          </w:p>
        </w:tc>
        <w:tc>
          <w:tcPr>
            <w:tcW w:type="dxa" w:w="1584"/>
            <w:shd w:fill="17365D"/>
            <w:tcMar>
              <w:top w:w="80" w:type="dxa"/>
              <w:start w:w="110" w:type="dxa"/>
              <w:bottom w:w="80" w:type="dxa"/>
              <w:end w:w="110" w:type="dxa"/>
            </w:tcMar>
            <w:vAlign w:val="center"/>
          </w:tcPr>
          <w:p>
            <w:pPr>
              <w:widowControl/>
            </w:pPr>
            <w:r>
              <w:rPr>
                <w:rFonts w:ascii="Calibri" w:hAnsi="Calibri"/>
                <w:b/>
                <w:color w:val="FFFFFF"/>
                <w:sz w:val="13"/>
              </w:rPr>
              <w:t>Applicability</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3"/>
              </w:rPr>
              <w:t>Location / role</w:t>
            </w:r>
          </w:p>
        </w:tc>
        <w:tc>
          <w:tcPr>
            <w:tcW w:type="dxa" w:w="2750"/>
            <w:shd w:fill="17365D"/>
            <w:tcMar>
              <w:top w:w="80" w:type="dxa"/>
              <w:start w:w="110" w:type="dxa"/>
              <w:bottom w:w="80" w:type="dxa"/>
              <w:end w:w="110" w:type="dxa"/>
            </w:tcMar>
            <w:vAlign w:val="center"/>
          </w:tcPr>
          <w:p>
            <w:pPr>
              <w:widowControl/>
            </w:pPr>
            <w:r>
              <w:rPr>
                <w:rFonts w:ascii="Calibri" w:hAnsi="Calibri"/>
                <w:b/>
                <w:color w:val="FFFFFF"/>
                <w:sz w:val="13"/>
              </w:rPr>
              <w:t>Requirement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4–8 — Simplified ICT risk management framework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Articles 5 to 15 of this Regulation shall not apply to small and non-interconnected investment firms, payment institutions exempted pursuant to Directive (EU) 2015/2366; institutions exempted pursuant to Direct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DORA-A16-P1-2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16(1)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4–8 — Simplified ICT risk management framework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Without prejudice to the first subparagraph, the entities listed in the first subparagraph shall:</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4–8 — Simplified ICT risk management framework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put in place and maintain a sound and documented ICT risk management framework that details the mechanisms and measures aimed at a quick, efficient and comprehensive management of ICT risk, including for the pr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DORA-A16-P2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16(2)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ICT risk management framework referred to in paragraph 1, second subparagraph, point (a), shall be documented and reviewed periodically and upon the occurrence of major ICT-related incidents in compliance w</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2 — Legal and regulatory basis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through the Joint Committee, in consultation with the ENISA, develop common draft regulatory technical standards in order to: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DORA-A16-P3-13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16(3)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2 — Legal and regulatory basis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When developing those draft regulatory technical standards, the ESAs shall take into account the size and the overall risk profile of the financial entity, and the nature, scale and complexity of its services,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DORA-A16-P3-14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2 — Legal and regulatory basis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submit those draft regulatory technical standards to the Commission by 17 January 2024.</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DORA-A16-P3-15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16(3)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2 — Legal and regulatory basis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Power is delegated to the Commission to supplement this Regulation by adopting the regulatory technical standards referred to in the first subparagraph in accordance with Articles 10 to 14 of Regulations (EU) 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16(3)(a)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2 — Legal and regulatory basis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specify further the elements to be included in the ICT risk management framework referred to in paragraph 1, second subparagraph, point (a);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28(10)</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2 — Legal and regulatory basis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ESAs shall, through the Joint Committee, develop draft regulatory technical standards to further specify the detailed content of the policy referred to in paragraph 2 in relation to the contractual arrangem</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DORA-A28-P10-35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28(10)</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2 — Legal and regulatory basis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When developing those draft regulatory technical standards, the ESAs shall take into account the size and the overall risk profile of the financial entity, and the nature, scale and complexity of its services,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DORA-A28-P10-36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28(10)</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2 — Legal and regulatory basis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Power is delegated to the Commission to supplement this Regulation by adopting the regulatory technical standards referred to in the first subparagraph in accordance with Articles 10 to 14 of Regulations (EU) 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As part of their ICT risk management framework, financial entities, other than entities referred to in Article 16(1), first subparagraph, and other than microenterprises, shall adopt, and regularly review, a st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28(9)</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2 — Legal and regulatory basis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ESAs shall, through the Joint Committee, develop draft implementing technical standards to establish the standard templates for the purposes of the register of information referred to in paragraph 3, includ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DORA-A28-P9-33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28(9)</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2 — Legal and regulatory basis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Power is conferred on the Commission to adopt the implementing technical standards referred to in the first subparagraph in accordance with Article 15 of Regulations (EU) No 1093/2010, (EU) No 1094/2010 and (EU</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DORA-A04-P1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3 — Scope, applicability and proportionality</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implement the rules laid down in Chapter II in accordance with the principle of proportionality, taking into account their size and overall risk profile, and the nature, scale and compl</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DORA-A04-P2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4(2)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3 — Scope, applicability and proportionality</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 addition, the application by financial entities of Chapters III, IV and V, Section I, shall be proportionate to their size and overall risk profile, and to the nature, scale and complexity of their services,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DORA-A04-P3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3 — Scope, applicability and proportionality</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competent authorities shall consider the application of the proportionality principle by financial entities when reviewing the consistency of the ICT risk management framework on the basis of the reports su</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DORA-A45-P1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45(1)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may exchange amongst themselves cyber threat information and intelligence, including indicators of compromise, tactics, techniques, and procedures, cyber security alerts and configuration too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DORA-A45-P1-A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45(1)(a)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aims to enhance the digital operational resilience of financial entities, in particular through raising awareness in relation to cyber threats, limiting or impeding the cyber threats’ ability to spread, support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DORA-A45-P1-B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45(1)(b)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takes places within trusted communities of financial entities;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DORA-A45-P1-C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45(1)(c)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is implemented through information-sharing arrangements that protect the potentially sensitive nature of the information shared, and that are governed by rules of conduct in full respect of business confidentia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DORA-A45-P2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45(2)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For the purpose of paragraph 1, point (c), the information-sharing arrangements shall define the conditions for participation and, where appropriate, shall set out the details on the involvement of public autho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DORA-A45-P3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45(3)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notify competent authorities of their participation in the information-sharing arrangements referred to in paragraph 1, upon validation of their membership, or, as applicable, of the 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IS-ACT78-S1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IS_ACT78 Section 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2 — Icelandic legal basis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DORA has force of law in Iceland with EEA adaptations under JCD No. 40/2025. The Act entered into force on 1 January 2026.</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IS-ACT78-S3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IS_ACT78 Section 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2 and Section 9 — Authority and reporting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Central Bank of Iceland is the competent authority and the Financial Supervisory Authority supervises compliance.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IS-ACT78-S5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IS_ACT78 Section 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2 — Legal basis and consequences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Administrative fines may be imposed for breaches of the specified DORA obligations, including Articles 16–19, 24–30.</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IS-R310-A2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IS_RULE310 Article 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2 — Applicable Level 2 measures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incorporated Level 2 measures govern ICT incident management/reporting, ICT-risk management, third-party use and, conditionally, TLPT.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financial entities referred to in Article 16(1) of Regulation (EU) 2022/2554 shall have in place an internal governance and control framework that ensures an effective and prudent management of ICT risk to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paragraph 1 shall, as part of their simplified ICT risk management framework, ensure that their management body: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28(2)(a)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bears the overall responsibility for ensuring that the simplified ICT risk management framework allows for the achievement of the financial entity’s business strategy in accordance with the risk appetite of tha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28(2)(b)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sets clear roles and responsibilities for all ICT-related tasks;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28(2)(c)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sets out information security objectives and ICT requirements;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RTS1774-A28-P2-D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28(2)(d)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approves, oversees, and periodically reviews: (i) the classification of information assets of the financial entity as referred to in Article 30(1) of this Regulation, the list of main risks identified, and the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RTS1774-A28-P2-E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28(2)(e)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allocates and reviews at least once a year the budget necessary to fulfil the financial entity’s digital operational resilience needs in respect of all types of resources, including relevant ICT security awaren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RTS1774-A28-P2-F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28(2)(f)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specifies and implements the policies and measures included in Chapters I, II and III of this Title to identify, assess and manage the ICT risk the financial entity is exposed to;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RTS1774-A28-P2-G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28(2)(g)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identifies and implements procedures, ICT protocols, and tools that are necessary to protect all information assets and ICT assets;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RTS1774-A28-P2-H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28(2)(h)</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ensures that the staff of the financial entity is kept up to date with sufficient knowledge and skills to understand and assess ICT risk and its impact on the operations of the financial entity, commensurate to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RTS1774-A28-P2-I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28(2)(i)</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establishes reporting arrangements, including the frequency, form, and content of reporting to the management body on the information security and digital operational resilience.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paragraph 1 may, in accordance with Union and national sectoral law, outsource the tasks of verifying compliance with ICT risk management requirements to ICT intra-group or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paragraph 1 shall ensure an appropriate segregation and the independence of control functions and internal audit functions.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paragraph 1 shall ensure that their simplified ICT risk management framework is subject to an internal audit by auditors, in line with the financial entities’ audit plan. 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5 and 9–11 — Governance, reporting, resources and assurance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Based on the outcome of the audit referred to in paragraph 5, the financial entities referred to in paragraph 1 shall ensure the timely verification and remediation of critical ICT audit findings.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RTS1774-A31-P1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31(1)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Article 16(1) of Regulation (EU) 2022/2554 shall include in their simplified ICT risk management framework all of the following:</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RTS1774-A31-P1-A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31(1)(a)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 determination of the risk tolerance levels for ICT risk, in accordance with the risk appetite of the financial entity;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RTS1774-A31-P1-B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31(1)(b)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identification and assessment of the ICT risks to which the financial entity is exposed;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RTS1774-A31-P1-C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31(1)(c)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specification of mitigation strategies at least for the ICT risks that are not within the risk tolerance levels of the financial entity;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RTS1774-A31-P1-D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31(1)(d)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monitoring of the effectiveness of the mitigation strategies referred to in point (c);</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RTS1774-A31-P1-E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31(1)(e)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identification and assessment of any ICT and information security risks resulting from any major change in ICT system or ICT services, processes, or procedures, and from ICT security testing results and aft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RTS1774-A31-P2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31(2)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paragraph 1 shall carry out and document the ICT risk assessment periodically commensurate to the financial entities’ ICT risk profile.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RTS1774-A31-P3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31(3)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paragraph 1 shall continuously monitor threats and vulnerabilities that are relevant to their critical or important functions, and information assets and ICT assets, and sh</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RTS1774-A31-P4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31(4)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paragraph 1 shall set out alert thresholds and criteria to trigger and initiate ICT-related incident response processes.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RTS1774-A41-P1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41(1)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Article 16(1) of Regulation (EU) 2022/2554 shall submit the report on the review of the ICT risk management framework referred to in paragraph 2 of that Article in a search</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RTS1774-A41-P2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41(2)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report referred to in paragraph 1 shall contain all of the following information: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RTS1774-A41-P2-A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41(2)(a)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an introductory section providing: (i) a description of the context of the report in terms of the nature, scale, and complexity of the financial entity’s services, activities, and operations, the financial enti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RTS1774-A41-P2-B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41(2)(b)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applicable, the date of the approval of the report by the management body of the financial entity;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RTS1774-A41-P2-C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41(2)(c)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 description of the reasons for the review, including: (i) where the review has been initiated following supervisory instructions, evidence of such instructions; (ii) where the review has been initiated follow</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RTS1774-A41-P2-D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41(2)(d)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start and end date of the review period;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RTS1774-A41-P2-E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41(2)(e)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person responsible for the review;</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RTS1774-A41-P2-F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41(2)(f)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summary of findings, and a self-assessment of the severity of the weaknesses, deficiencies, and gaps identified in ICT risk management framework for the review period, including a detailed analysis thereof;</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RTS1774-A41-P2-G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41(2)(g)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remedying measures identified to address weaknesses, deficiencies, and gaps in the simplified ICT risk management framework, and the expected date for implementing those measures, including the follow-up on wea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RTS1774-A41-P2-H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41(2)(h)</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overall conclusions on the review of the simplified ICT risk management framework, including any further planned developments.</w:t>
            </w:r>
          </w:p>
        </w:tc>
      </w:tr>
    </w:tbl>
    <w:p>
      <w:pPr>
        <w:widowControl/>
        <w:spacing w:after="0"/>
      </w:pPr>
    </w:p>
    <w:p>
      <w:pPr>
        <w:pStyle w:val="Heading1"/>
        <w:widowControl/>
      </w:pPr>
      <w:r>
        <w:t>Official source register</w:t>
      </w:r>
    </w:p>
    <w:tbl>
      <w:tblPr>
        <w:tblStyle w:val="TableGrid"/>
        <w:tblW w:type="auto" w:w="0"/>
        <w:jc w:val="center"/>
        <w:tblLayout w:type="fixed"/>
        <w:tblLook w:firstColumn="1" w:firstRow="1" w:lastColumn="0" w:lastRow="0" w:noHBand="0" w:noVBand="1" w:val="04A0"/>
      </w:tblPr>
      <w:tblGrid>
        <w:gridCol w:w="3528"/>
        <w:gridCol w:w="6350"/>
      </w:tblGrid>
      <w:tr>
        <w:trPr>
          <w:tblHeader w:val="true"/>
        </w:trPr>
        <w:tc>
          <w:tcPr>
            <w:tcW w:type="dxa" w:w="3528"/>
            <w:shd w:fill="17365D"/>
            <w:tcMar>
              <w:top w:w="80" w:type="dxa"/>
              <w:start w:w="110" w:type="dxa"/>
              <w:bottom w:w="80" w:type="dxa"/>
              <w:end w:w="110" w:type="dxa"/>
            </w:tcMar>
            <w:vAlign w:val="center"/>
          </w:tcPr>
          <w:p>
            <w:pPr>
              <w:widowControl/>
            </w:pPr>
            <w:r>
              <w:rPr>
                <w:rFonts w:ascii="Calibri" w:hAnsi="Calibri"/>
                <w:b/>
                <w:color w:val="FFFFFF"/>
                <w:sz w:val="15"/>
              </w:rPr>
              <w:t>Source</w:t>
            </w:r>
          </w:p>
        </w:tc>
        <w:tc>
          <w:tcPr>
            <w:tcW w:type="dxa" w:w="6350"/>
            <w:shd w:fill="17365D"/>
            <w:tcMar>
              <w:top w:w="80" w:type="dxa"/>
              <w:start w:w="110" w:type="dxa"/>
              <w:bottom w:w="80" w:type="dxa"/>
              <w:end w:w="110" w:type="dxa"/>
            </w:tcMar>
            <w:vAlign w:val="center"/>
          </w:tcPr>
          <w:p>
            <w:pPr>
              <w:widowControl/>
            </w:pPr>
            <w:r>
              <w:rPr>
                <w:rFonts w:ascii="Calibri" w:hAnsi="Calibri"/>
                <w:b/>
                <w:color w:val="FFFFFF"/>
                <w:sz w:val="15"/>
              </w:rPr>
              <w:t>Official URL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DORA</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https://eur-lex.europa.eu/eli/reg/2022/2554/oj/eng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Simplified ICT-risk RTS 2024/1774</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https://eur-lex.europa.eu/eli/reg_del/2024/1774/oj/eng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classification RTS 2024/1772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https://eur-lex.europa.eu/eli/reg_del/2024/1772/oj/eng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Incident content/timing RTS 2025/301</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https://eur-lex.europa.eu/eli/reg_del/2025/301/oj/eng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forms ITS 2025/302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https://eur-lex.europa.eu/eli/reg_impl/2025/302/oj/eng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Register ITS 2024/2956</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https://eur-lex.europa.eu/eli/reg_impl/2024/2956/oj/eng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Subcontracting RTS 2025/532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https://eur-lex.europa.eu/eli/reg_del/2025/532/oj/eng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Icelandic Act No. 78/2025</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https://www.althingi.is/lagas/nuna/2025078.html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Central Bank Rules No. 310/2026</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https://island.is/stjornartidindi/nr/87da1483-6a2a-412a-9021-30b9a817ad51</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Central Bank DORA guidance</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https://sedlabanki.is/fjarmalaeftirlit/stafraenn-vidnamsthrottur-a-fjarmalamarkadi-dora/</w:t>
            </w:r>
          </w:p>
        </w:tc>
      </w:tr>
    </w:tbl>
    <w:p>
      <w:pPr>
        <w:widowControl/>
        <w:spacing w:after="0"/>
      </w:pPr>
    </w:p>
    <w:sectPr w:rsidR="00FC693F" w:rsidRPr="0006063C" w:rsidSect="00034616">
      <w:headerReference w:type="default" r:id="rId9"/>
      <w:footerReference w:type="default" r:id="rId10"/>
      <w:pgSz w:w="12240" w:h="15840"/>
      <w:pgMar w:top="1123" w:right="1181" w:bottom="1037" w:left="1181"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311"/>
      <w:gridCol w:w="3311"/>
      <w:gridCol w:w="3254"/>
    </w:tblGrid>
    <w:tr>
      <w:tc>
        <w:tcPr>
          <w:tcW w:type="dxa" w:w="3311"/>
          <w:tcBorders>
            <w:top w:val="single" w:sz="6" w:color="D0D5DD"/>
            <w:left w:val="nil"/>
            <w:bottom w:val="nil"/>
            <w:right w:val="nil"/>
          </w:tcBorders>
          <w:tcMar>
            <w:top w:w="80" w:type="dxa"/>
            <w:start w:w="0" w:type="dxa"/>
            <w:bottom w:w="0" w:type="dxa"/>
            <w:end w:w="0" w:type="dxa"/>
          </w:tcMar>
        </w:tcPr>
        <w:p>
          <w:r>
            <w:rPr>
              <w:sz w:val="16"/>
            </w:rPr>
            <w:t>[FIRM NAME]</w:t>
          </w:r>
        </w:p>
      </w:tc>
      <w:tc>
        <w:tcPr>
          <w:tcW w:type="dxa" w:w="3311"/>
          <w:tcBorders>
            <w:top w:val="single" w:sz="6" w:color="D0D5DD"/>
            <w:left w:val="nil"/>
            <w:bottom w:val="nil"/>
            <w:right w:val="nil"/>
          </w:tcBorders>
          <w:tcMar>
            <w:top w:w="80" w:type="dxa"/>
            <w:start w:w="0" w:type="dxa"/>
            <w:bottom w:w="0" w:type="dxa"/>
            <w:end w:w="0" w:type="dxa"/>
          </w:tcMar>
        </w:tcPr>
        <w:p>
          <w:pPr>
            <w:jc w:val="center"/>
          </w:pPr>
          <w:r>
            <w:rPr>
              <w:sz w:val="16"/>
            </w:rPr>
            <w:t>CONFIDENTIAL — CONTROLLED DOCUMENT</w:t>
          </w:r>
        </w:p>
      </w:tc>
      <w:tc>
        <w:tcPr>
          <w:tcW w:type="dxa" w:w="3254"/>
          <w:tcBorders>
            <w:top w:val="single" w:sz="6" w:color="D0D5DD"/>
            <w:left w:val="nil"/>
            <w:bottom w:val="nil"/>
            <w:right w:val="nil"/>
          </w:tcBorders>
          <w:tcMar>
            <w:top w:w="80" w:type="dxa"/>
            <w:start w:w="0" w:type="dxa"/>
            <w:bottom w:w="0" w:type="dxa"/>
            <w:end w:w="0" w:type="dxa"/>
          </w:tcMar>
        </w:tcPr>
        <w:p>
          <w:pPr>
            <w:jc w:val="right"/>
          </w:pPr>
          <w:r>
            <w:rPr>
              <w:sz w:val="16"/>
            </w:rPr>
            <w:t xml:space="preserve">Page </w:t>
          </w:r>
          <w:r>
            <w:fldChar w:fldCharType="begin"/>
            <w:instrText xml:space="preserve">PAGE</w:instrText>
            <w:fldChar w:fldCharType="end"/>
          </w:r>
          <w:r>
            <w:rPr>
              <w:sz w:val="16"/>
            </w:rPr>
            <w:t xml:space="preserve"> of </w:t>
          </w:r>
          <w:r>
            <w:fldChar w:fldCharType="begin"/>
            <w:instrText xml:space="preserve">NUMPAGES</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color w:val="667085"/>
        <w:sz w:val="16"/>
      </w:rPr>
      <w:t>D01  |  DORA GOVERNANCE &amp; SIMPLIFIED ICT RISK MANAGEMENT FRAMEWORK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ind w:left="475" w:hanging="259"/>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ind w:left="475" w:hanging="259"/>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raftingNote">
    <w:name w:val="Drafting Note"/>
    <w:pPr>
      <w:spacing w:before="80" w:after="120"/>
      <w:ind w:left="259" w:right="259"/>
    </w:pPr>
    <w:rPr>
      <w:rFonts w:ascii="Calibri" w:hAnsi="Calibri"/>
      <w:i/>
      <w:color w:val="667085"/>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eur-lex.europa.eu/eli/reg/2022/2554/oj/eng" TargetMode="External"/><Relationship Id="rId12" Type="http://schemas.openxmlformats.org/officeDocument/2006/relationships/hyperlink" Target="https://eur-lex.europa.eu/eli/reg_del/2024/1774/oj/eng" TargetMode="External"/><Relationship Id="rId13" Type="http://schemas.openxmlformats.org/officeDocument/2006/relationships/hyperlink" Target="https://sedlabanki.is/fjarmalaeftirlit/stafraenn-vidnamsthrottur-a-fjarmalamarkadi-do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DORA Governance &amp; Simplified ICT Risk Management Framework</dc:title>
  <dc:subject>Reusable internal template for an SNI investment firm</dc:subject>
  <dc:creator>DORA SNI Documentation &amp; Implementation Suite v1.0</dc:creator>
  <cp:keywords>DORA, Article 16, ICT risk, governance, investment firm, template</cp:keywords>
  <dc:description>generated by python-docx</dc:description>
  <cp:lastModifiedBy/>
  <cp:revision>1</cp:revision>
  <dcterms:created xsi:type="dcterms:W3CDTF">2013-12-23T23:15:00Z</dcterms:created>
  <dcterms:modified xsi:type="dcterms:W3CDTF">2013-12-23T23:15:00Z</dcterms:modified>
  <cp:category/>
</cp:coreProperties>
</file>